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FA5C" w14:textId="3784755E" w:rsidR="00D9729C" w:rsidRPr="007304DD" w:rsidRDefault="4DB91925" w:rsidP="00227DA0">
      <w:pPr>
        <w:pStyle w:val="ListParagraph"/>
        <w:tabs>
          <w:tab w:val="left" w:pos="810"/>
        </w:tabs>
        <w:ind w:left="0"/>
        <w:rPr>
          <w:rFonts w:ascii="Avenir Next LT Pro" w:hAnsi="Avenir Next LT Pro" w:cstheme="minorBidi"/>
        </w:rPr>
      </w:pPr>
      <w:bookmarkStart w:id="0" w:name="_Hlk161841409"/>
      <w:bookmarkEnd w:id="0"/>
      <w:r w:rsidRPr="046FD464">
        <w:rPr>
          <w:rFonts w:ascii="Avenir Next LT Pro" w:hAnsi="Avenir Next LT Pro" w:cstheme="minorBidi"/>
        </w:rPr>
        <w:t>Career connected learning programs provide awareness, exploration, and launch experiences</w:t>
      </w:r>
      <w:r w:rsidR="4AEF8A63" w:rsidRPr="046FD464">
        <w:rPr>
          <w:rFonts w:ascii="Avenir Next LT Pro" w:hAnsi="Avenir Next LT Pro" w:cstheme="minorBidi"/>
        </w:rPr>
        <w:t xml:space="preserve"> </w:t>
      </w:r>
      <w:r w:rsidRPr="046FD464">
        <w:rPr>
          <w:rFonts w:ascii="Avenir Next LT Pro" w:hAnsi="Avenir Next LT Pro" w:cstheme="minorBidi"/>
        </w:rPr>
        <w:t xml:space="preserve">to help </w:t>
      </w:r>
      <w:r w:rsidR="00254FFC">
        <w:rPr>
          <w:rFonts w:ascii="Avenir Next LT Pro" w:hAnsi="Avenir Next LT Pro" w:cstheme="minorBidi"/>
        </w:rPr>
        <w:t>youth</w:t>
      </w:r>
      <w:r w:rsidRPr="046FD464">
        <w:rPr>
          <w:rFonts w:ascii="Avenir Next LT Pro" w:hAnsi="Avenir Next LT Pro" w:cstheme="minorBidi"/>
        </w:rPr>
        <w:t xml:space="preserve"> </w:t>
      </w:r>
      <w:r w:rsidR="007501AD">
        <w:rPr>
          <w:rFonts w:ascii="Avenir Next LT Pro" w:hAnsi="Avenir Next LT Pro" w:cstheme="minorBidi"/>
        </w:rPr>
        <w:t>identify</w:t>
      </w:r>
      <w:r w:rsidRPr="046FD464">
        <w:rPr>
          <w:rFonts w:ascii="Avenir Next LT Pro" w:hAnsi="Avenir Next LT Pro" w:cstheme="minorBidi"/>
        </w:rPr>
        <w:t xml:space="preserve"> their career pathway, which may include college, the trades, military,</w:t>
      </w:r>
      <w:r w:rsidR="011A7419" w:rsidRPr="046FD464">
        <w:rPr>
          <w:rFonts w:ascii="Avenir Next LT Pro" w:hAnsi="Avenir Next LT Pro" w:cstheme="minorBidi"/>
        </w:rPr>
        <w:t xml:space="preserve"> entrepreneurship,</w:t>
      </w:r>
      <w:r w:rsidRPr="046FD464">
        <w:rPr>
          <w:rFonts w:ascii="Avenir Next LT Pro" w:hAnsi="Avenir Next LT Pro" w:cstheme="minorBidi"/>
        </w:rPr>
        <w:t xml:space="preserve"> workforce advancement o</w:t>
      </w:r>
      <w:r w:rsidR="684E14D8" w:rsidRPr="046FD464">
        <w:rPr>
          <w:rFonts w:ascii="Avenir Next LT Pro" w:hAnsi="Avenir Next LT Pro" w:cstheme="minorBidi"/>
        </w:rPr>
        <w:t>r a combination.</w:t>
      </w:r>
      <w:r w:rsidR="00193A66">
        <w:rPr>
          <w:rFonts w:ascii="Avenir Next LT Pro" w:hAnsi="Avenir Next LT Pro" w:cstheme="minorBidi"/>
        </w:rPr>
        <w:t xml:space="preserve"> The goal is to expose them to a diverse range of opportunities </w:t>
      </w:r>
      <w:r w:rsidR="007F547F">
        <w:rPr>
          <w:rFonts w:ascii="Avenir Next LT Pro" w:hAnsi="Avenir Next LT Pro" w:cstheme="minorBidi"/>
        </w:rPr>
        <w:t>to help them build experience and clarity around their goals and empower them to pursue experiences that are meaningful.</w:t>
      </w:r>
    </w:p>
    <w:p w14:paraId="17A889EB" w14:textId="35EEDCE0" w:rsidR="00B32079" w:rsidRPr="007304DD" w:rsidRDefault="0015319F" w:rsidP="00C5357D">
      <w:pPr>
        <w:pStyle w:val="ListParagraph"/>
        <w:tabs>
          <w:tab w:val="left" w:pos="810"/>
        </w:tabs>
        <w:ind w:left="0"/>
        <w:rPr>
          <w:rFonts w:ascii="Avenir Next LT Pro" w:hAnsi="Avenir Next LT Pro"/>
        </w:rPr>
      </w:pPr>
      <w:r>
        <w:rPr>
          <w:noProof/>
        </w:rPr>
        <w:drawing>
          <wp:inline distT="0" distB="0" distL="0" distR="0" wp14:anchorId="279C466F" wp14:editId="03DCC73C">
            <wp:extent cx="6091834" cy="4568876"/>
            <wp:effectExtent l="0" t="0" r="0" b="0"/>
            <wp:docPr id="1060641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41459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1834" cy="456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29F4" w14:textId="023294D1" w:rsidR="64096A4A" w:rsidRDefault="64096A4A"/>
    <w:p w14:paraId="4602B768" w14:textId="4BF669B1" w:rsidR="64096A4A" w:rsidRDefault="64096A4A"/>
    <w:p w14:paraId="7BA1085F" w14:textId="77777777" w:rsidR="00B2606D" w:rsidRDefault="00B2606D" w:rsidP="000E3182">
      <w:pPr>
        <w:spacing w:after="120"/>
        <w:rPr>
          <w:rFonts w:ascii="Avenir Next LT Pro" w:hAnsi="Avenir Next LT Pro"/>
          <w:b/>
          <w:color w:val="385623" w:themeColor="accent6" w:themeShade="80"/>
          <w:sz w:val="32"/>
          <w:szCs w:val="32"/>
        </w:rPr>
      </w:pPr>
    </w:p>
    <w:p w14:paraId="0F3E6092" w14:textId="3E924B6C" w:rsidR="00D42B89" w:rsidRPr="007304DD" w:rsidRDefault="0043287F" w:rsidP="00ED0E0C">
      <w:pPr>
        <w:spacing w:after="120"/>
        <w:jc w:val="center"/>
        <w:rPr>
          <w:rFonts w:ascii="Avenir Next LT Pro" w:hAnsi="Avenir Next LT Pro"/>
          <w:color w:val="385623" w:themeColor="accent6" w:themeShade="80"/>
        </w:rPr>
      </w:pPr>
      <w:r>
        <w:rPr>
          <w:rFonts w:ascii="Avenir Next LT Pro" w:hAnsi="Avenir Next LT Pro"/>
          <w:b/>
          <w:color w:val="385623" w:themeColor="accent6" w:themeShade="80"/>
          <w:sz w:val="32"/>
          <w:szCs w:val="32"/>
        </w:rPr>
        <w:t>C2L – PHL</w:t>
      </w:r>
      <w:r w:rsidR="00AF2F99">
        <w:rPr>
          <w:rFonts w:ascii="Avenir Next LT Pro" w:hAnsi="Avenir Next LT Pro"/>
          <w:b/>
          <w:color w:val="385623" w:themeColor="accent6" w:themeShade="80"/>
          <w:sz w:val="32"/>
          <w:szCs w:val="32"/>
        </w:rPr>
        <w:t xml:space="preserve"> Experiences</w:t>
      </w:r>
      <w:r>
        <w:rPr>
          <w:rFonts w:ascii="Avenir Next LT Pro" w:hAnsi="Avenir Next LT Pro"/>
          <w:b/>
          <w:color w:val="385623" w:themeColor="accent6" w:themeShade="80"/>
          <w:sz w:val="32"/>
          <w:szCs w:val="32"/>
        </w:rPr>
        <w:t xml:space="preserve"> </w:t>
      </w:r>
      <w:r w:rsidR="004A2F2B" w:rsidRPr="046FD464">
        <w:rPr>
          <w:rFonts w:ascii="Avenir Next LT Pro" w:hAnsi="Avenir Next LT Pro"/>
          <w:b/>
          <w:color w:val="385623" w:themeColor="accent6" w:themeShade="80"/>
          <w:sz w:val="32"/>
          <w:szCs w:val="32"/>
        </w:rPr>
        <w:t xml:space="preserve">for </w:t>
      </w:r>
      <w:r w:rsidR="7F07FA83" w:rsidRPr="046FD464">
        <w:rPr>
          <w:rFonts w:ascii="Avenir Next LT Pro" w:hAnsi="Avenir Next LT Pro"/>
          <w:b/>
          <w:bCs/>
          <w:color w:val="385623" w:themeColor="accent6" w:themeShade="80"/>
          <w:sz w:val="32"/>
          <w:szCs w:val="32"/>
        </w:rPr>
        <w:t>Youth</w:t>
      </w:r>
      <w:r w:rsidR="0050502C" w:rsidRPr="046FD464">
        <w:rPr>
          <w:rFonts w:ascii="Avenir Next LT Pro" w:hAnsi="Avenir Next LT Pro"/>
          <w:b/>
          <w:color w:val="385623" w:themeColor="accent6" w:themeShade="80"/>
          <w:sz w:val="32"/>
          <w:szCs w:val="32"/>
        </w:rPr>
        <w:t xml:space="preserve"> Workforce Development</w:t>
      </w:r>
    </w:p>
    <w:tbl>
      <w:tblPr>
        <w:tblW w:w="102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3586"/>
        <w:gridCol w:w="4834"/>
      </w:tblGrid>
      <w:tr w:rsidR="007A3C20" w:rsidRPr="007304DD" w14:paraId="1EB90A00" w14:textId="77777777" w:rsidTr="53FEE80F">
        <w:trPr>
          <w:trHeight w:val="175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AA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30A5" w14:textId="3B89B4D4" w:rsidR="007A3C20" w:rsidRPr="007304DD" w:rsidRDefault="00AF2F99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color w:val="000000"/>
              </w:rPr>
              <w:t>Experiences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AA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0307" w14:textId="77777777" w:rsidR="007A3C20" w:rsidRPr="007304DD" w:rsidRDefault="007A3C20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007304DD">
              <w:rPr>
                <w:rFonts w:ascii="Avenir Next LT Pro" w:hAnsi="Avenir Next LT Pro"/>
                <w:b/>
                <w:bCs/>
                <w:color w:val="000000"/>
              </w:rPr>
              <w:t>Purpose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AA9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22A0" w14:textId="4298B8FF" w:rsidR="007A3C20" w:rsidRPr="007304DD" w:rsidRDefault="007A3C20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007304DD">
              <w:rPr>
                <w:rFonts w:ascii="Avenir Next LT Pro" w:hAnsi="Avenir Next LT Pro"/>
                <w:b/>
                <w:bCs/>
                <w:color w:val="000000"/>
              </w:rPr>
              <w:t xml:space="preserve">What </w:t>
            </w:r>
            <w:r w:rsidR="00004A97">
              <w:rPr>
                <w:rFonts w:ascii="Avenir Next LT Pro" w:hAnsi="Avenir Next LT Pro"/>
                <w:b/>
                <w:bCs/>
                <w:color w:val="000000"/>
              </w:rPr>
              <w:t>Youth</w:t>
            </w:r>
            <w:r w:rsidR="00004A97" w:rsidRPr="007304DD">
              <w:rPr>
                <w:rFonts w:ascii="Avenir Next LT Pro" w:hAnsi="Avenir Next LT Pro"/>
                <w:b/>
                <w:bCs/>
                <w:color w:val="000000"/>
              </w:rPr>
              <w:t xml:space="preserve"> </w:t>
            </w:r>
            <w:r w:rsidRPr="007304DD">
              <w:rPr>
                <w:rFonts w:ascii="Avenir Next LT Pro" w:hAnsi="Avenir Next LT Pro"/>
                <w:b/>
                <w:bCs/>
                <w:color w:val="000000"/>
              </w:rPr>
              <w:t>Do</w:t>
            </w:r>
          </w:p>
        </w:tc>
      </w:tr>
      <w:tr w:rsidR="007A3C20" w:rsidRPr="007304DD" w14:paraId="1C503A07" w14:textId="77777777" w:rsidTr="53FEE80F">
        <w:trPr>
          <w:trHeight w:val="1032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6C7B" w14:textId="6E41BF2F" w:rsidR="007A3C20" w:rsidRDefault="009B258D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b/>
                <w:bCs/>
                <w:color w:val="000000"/>
              </w:rPr>
            </w:pPr>
            <w:r>
              <w:rPr>
                <w:rFonts w:ascii="Avenir Next LT Pro" w:hAnsi="Avenir Next LT Pro"/>
                <w:b/>
                <w:bCs/>
                <w:color w:val="000000"/>
              </w:rPr>
              <w:t xml:space="preserve">Career </w:t>
            </w:r>
            <w:r w:rsidR="007A3C20" w:rsidRPr="007304DD">
              <w:rPr>
                <w:rFonts w:ascii="Avenir Next LT Pro" w:hAnsi="Avenir Next LT Pro"/>
                <w:b/>
                <w:bCs/>
                <w:color w:val="000000"/>
              </w:rPr>
              <w:t>Awareness</w:t>
            </w:r>
          </w:p>
          <w:p w14:paraId="0BB97D46" w14:textId="7AF147CD" w:rsidR="00A915DA" w:rsidRPr="00A915DA" w:rsidRDefault="00A915DA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bCs/>
                <w:i/>
                <w:iCs/>
                <w:color w:val="000000"/>
              </w:rPr>
              <w:t>Learning about work</w:t>
            </w:r>
          </w:p>
          <w:p w14:paraId="066B734B" w14:textId="77777777" w:rsidR="007A3C20" w:rsidRPr="007304DD" w:rsidRDefault="007A3C20">
            <w:pPr>
              <w:rPr>
                <w:rFonts w:ascii="Avenir Next LT Pro" w:hAnsi="Avenir Next LT Pro"/>
              </w:rPr>
            </w:pPr>
          </w:p>
          <w:p w14:paraId="6332B818" w14:textId="670B7111" w:rsidR="007A3C20" w:rsidRPr="007304DD" w:rsidRDefault="007A3C20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653C" w14:textId="63F539BC" w:rsidR="007A3C20" w:rsidRPr="007304DD" w:rsidRDefault="007A3C20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 xml:space="preserve">Provide opportunities for </w:t>
            </w:r>
            <w:r w:rsidR="00004A97" w:rsidRPr="53FEE80F">
              <w:rPr>
                <w:rFonts w:ascii="Avenir Next LT Pro" w:hAnsi="Avenir Next LT Pro"/>
                <w:color w:val="000000" w:themeColor="text1"/>
              </w:rPr>
              <w:t xml:space="preserve">youth </w:t>
            </w:r>
            <w:r w:rsidRPr="53FEE80F">
              <w:rPr>
                <w:rFonts w:ascii="Avenir Next LT Pro" w:hAnsi="Avenir Next LT Pro"/>
                <w:color w:val="000000" w:themeColor="text1"/>
              </w:rPr>
              <w:t xml:space="preserve">to </w:t>
            </w:r>
            <w:r w:rsidR="00F14C14" w:rsidRPr="53FEE80F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explore</w:t>
            </w:r>
            <w:r w:rsidR="4FFCC1A5" w:rsidRPr="53FEE80F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:</w:t>
            </w:r>
          </w:p>
          <w:p w14:paraId="01B17396" w14:textId="7EF4710F" w:rsidR="007A3C20" w:rsidRPr="007304DD" w:rsidRDefault="007A3C20" w:rsidP="00F422F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Themselves</w:t>
            </w:r>
            <w:r w:rsidR="00FB02B3">
              <w:rPr>
                <w:rFonts w:ascii="Avenir Next LT Pro" w:hAnsi="Avenir Next LT Pro"/>
                <w:color w:val="000000"/>
              </w:rPr>
              <w:t xml:space="preserve"> </w:t>
            </w:r>
          </w:p>
          <w:p w14:paraId="3DD02166" w14:textId="17101CA7" w:rsidR="005D71F6" w:rsidRDefault="007A3C20" w:rsidP="00F422F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Education</w:t>
            </w:r>
            <w:r w:rsidR="00755057">
              <w:rPr>
                <w:rFonts w:ascii="Avenir Next LT Pro" w:hAnsi="Avenir Next LT Pro"/>
                <w:color w:val="000000"/>
              </w:rPr>
              <w:t xml:space="preserve"> options</w:t>
            </w:r>
          </w:p>
          <w:p w14:paraId="0FABEB3B" w14:textId="749E207E" w:rsidR="007A3C20" w:rsidRPr="007304DD" w:rsidRDefault="005D71F6" w:rsidP="00F422F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C</w:t>
            </w:r>
            <w:r w:rsidR="007A3C20" w:rsidRPr="007304DD">
              <w:rPr>
                <w:rFonts w:ascii="Avenir Next LT Pro" w:hAnsi="Avenir Next LT Pro"/>
                <w:color w:val="000000"/>
              </w:rPr>
              <w:t>areer options</w:t>
            </w:r>
          </w:p>
          <w:p w14:paraId="34F94CCF" w14:textId="1FB33AD5" w:rsidR="007A3C20" w:rsidRPr="00AD568E" w:rsidRDefault="007A3C20" w:rsidP="00AD568E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Real-world job expectations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8261" w14:textId="32C53CAF" w:rsidR="007A3C20" w:rsidRPr="007304DD" w:rsidRDefault="00004A97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 xml:space="preserve">Youth </w:t>
            </w:r>
            <w:proofErr w:type="gramStart"/>
            <w:r w:rsidR="007A3C20" w:rsidRPr="53FEE80F">
              <w:rPr>
                <w:rFonts w:ascii="Avenir Next LT Pro" w:hAnsi="Avenir Next LT Pro"/>
                <w:color w:val="000000" w:themeColor="text1"/>
              </w:rPr>
              <w:t>discover</w:t>
            </w:r>
            <w:proofErr w:type="gramEnd"/>
            <w:r w:rsidR="14C0AC28" w:rsidRPr="53FEE80F">
              <w:rPr>
                <w:rFonts w:ascii="Avenir Next LT Pro" w:hAnsi="Avenir Next LT Pro"/>
                <w:color w:val="000000" w:themeColor="text1"/>
              </w:rPr>
              <w:t>:</w:t>
            </w:r>
            <w:r w:rsidR="007A3C20" w:rsidRPr="53FEE80F">
              <w:rPr>
                <w:rFonts w:ascii="Avenir Next LT Pro" w:hAnsi="Avenir Next LT Pro"/>
                <w:color w:val="000000" w:themeColor="text1"/>
              </w:rPr>
              <w:t> </w:t>
            </w:r>
          </w:p>
          <w:p w14:paraId="570AB3A1" w14:textId="6F013E09" w:rsidR="007A3C20" w:rsidRPr="007304DD" w:rsidRDefault="007A3C20" w:rsidP="00F422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Personal interests, strengths</w:t>
            </w:r>
            <w:r w:rsidR="00210445" w:rsidRPr="007304DD">
              <w:rPr>
                <w:rFonts w:ascii="Avenir Next LT Pro" w:hAnsi="Avenir Next LT Pro"/>
                <w:color w:val="000000"/>
              </w:rPr>
              <w:t>,</w:t>
            </w:r>
            <w:r w:rsidRPr="007304DD">
              <w:rPr>
                <w:rFonts w:ascii="Avenir Next LT Pro" w:hAnsi="Avenir Next LT Pro"/>
                <w:color w:val="000000"/>
              </w:rPr>
              <w:t xml:space="preserve"> aspirations</w:t>
            </w:r>
            <w:r w:rsidR="00542A05">
              <w:rPr>
                <w:rFonts w:ascii="Avenir Next LT Pro" w:hAnsi="Avenir Next LT Pro"/>
                <w:color w:val="000000"/>
              </w:rPr>
              <w:t>,</w:t>
            </w:r>
            <w:r w:rsidR="00FB02B3">
              <w:rPr>
                <w:rFonts w:ascii="Avenir Next LT Pro" w:hAnsi="Avenir Next LT Pro"/>
                <w:color w:val="000000"/>
              </w:rPr>
              <w:t xml:space="preserve"> passions</w:t>
            </w:r>
            <w:r w:rsidR="00542A05">
              <w:rPr>
                <w:rFonts w:ascii="Avenir Next LT Pro" w:hAnsi="Avenir Next LT Pro"/>
                <w:color w:val="000000"/>
              </w:rPr>
              <w:t>, values, and beliefs</w:t>
            </w:r>
          </w:p>
          <w:p w14:paraId="509A1302" w14:textId="11C4259F" w:rsidR="007A3C20" w:rsidRPr="007304DD" w:rsidRDefault="00F7089D" w:rsidP="00F422F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 xml:space="preserve">Skills </w:t>
            </w:r>
            <w:r w:rsidR="007A3C20" w:rsidRPr="007304DD">
              <w:rPr>
                <w:rFonts w:ascii="Avenir Next LT Pro" w:hAnsi="Avenir Next LT Pro"/>
                <w:color w:val="000000"/>
              </w:rPr>
              <w:t>for education</w:t>
            </w:r>
            <w:r>
              <w:rPr>
                <w:rFonts w:ascii="Avenir Next LT Pro" w:hAnsi="Avenir Next LT Pro"/>
                <w:color w:val="000000"/>
              </w:rPr>
              <w:t xml:space="preserve">, training and </w:t>
            </w:r>
            <w:r w:rsidR="007A3C20" w:rsidRPr="007304DD">
              <w:rPr>
                <w:rFonts w:ascii="Avenir Next LT Pro" w:hAnsi="Avenir Next LT Pro"/>
                <w:color w:val="000000"/>
              </w:rPr>
              <w:t>work</w:t>
            </w:r>
          </w:p>
          <w:p w14:paraId="41D826AB" w14:textId="77777777" w:rsidR="007A3C20" w:rsidRPr="007304DD" w:rsidRDefault="007A3C20" w:rsidP="00F422F7">
            <w:pPr>
              <w:pStyle w:val="NormalWeb"/>
              <w:numPr>
                <w:ilvl w:val="0"/>
                <w:numId w:val="2"/>
              </w:numPr>
              <w:spacing w:before="0" w:beforeAutospacing="0" w:after="20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Potential opportunities and supports</w:t>
            </w:r>
          </w:p>
        </w:tc>
      </w:tr>
      <w:tr w:rsidR="007A3C20" w:rsidRPr="007304DD" w14:paraId="083D15D6" w14:textId="77777777" w:rsidTr="53FEE80F">
        <w:trPr>
          <w:trHeight w:val="88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D218" w14:textId="5DE0DDD6" w:rsidR="007A3C20" w:rsidRPr="007304DD" w:rsidRDefault="009B258D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color w:val="000000"/>
              </w:rPr>
              <w:lastRenderedPageBreak/>
              <w:t xml:space="preserve">Career </w:t>
            </w:r>
            <w:r w:rsidR="00CB1F83">
              <w:rPr>
                <w:rFonts w:ascii="Avenir Next LT Pro" w:hAnsi="Avenir Next LT Pro"/>
                <w:b/>
                <w:bCs/>
                <w:color w:val="000000"/>
              </w:rPr>
              <w:t>Preparation</w:t>
            </w:r>
          </w:p>
          <w:p w14:paraId="355EBB5C" w14:textId="728FEB4B" w:rsidR="007A3C20" w:rsidRPr="00236139" w:rsidRDefault="00236139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Learning through work</w:t>
            </w:r>
          </w:p>
          <w:p w14:paraId="0E468DB2" w14:textId="5BCF5734" w:rsidR="007A3C20" w:rsidRPr="007304DD" w:rsidRDefault="007A3C20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8DE7" w14:textId="0E50B699" w:rsidR="007A3C20" w:rsidRPr="007304DD" w:rsidRDefault="007A3C20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 xml:space="preserve">Provide opportunities for </w:t>
            </w:r>
            <w:r w:rsidR="00004A97" w:rsidRPr="53FEE80F">
              <w:rPr>
                <w:rFonts w:ascii="Avenir Next LT Pro" w:hAnsi="Avenir Next LT Pro"/>
                <w:color w:val="000000" w:themeColor="text1"/>
              </w:rPr>
              <w:t xml:space="preserve">youth </w:t>
            </w:r>
            <w:r w:rsidRPr="53FEE80F">
              <w:rPr>
                <w:rFonts w:ascii="Avenir Next LT Pro" w:hAnsi="Avenir Next LT Pro"/>
                <w:color w:val="000000" w:themeColor="text1"/>
              </w:rPr>
              <w:t xml:space="preserve">to </w:t>
            </w:r>
            <w:r w:rsidR="00EA11AF" w:rsidRPr="00552C64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identify</w:t>
            </w:r>
            <w:r w:rsidR="21B967B5" w:rsidRPr="00552C64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:</w:t>
            </w:r>
          </w:p>
          <w:p w14:paraId="4D6E9F26" w14:textId="77777777" w:rsidR="007A3C20" w:rsidRPr="007304DD" w:rsidRDefault="007A3C20" w:rsidP="0099372D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07"/>
              </w:tabs>
              <w:spacing w:before="0" w:beforeAutospacing="0" w:after="0" w:afterAutospacing="0"/>
              <w:ind w:left="307" w:hanging="270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Education options</w:t>
            </w:r>
          </w:p>
          <w:p w14:paraId="5CB27026" w14:textId="77777777" w:rsidR="0058407A" w:rsidRPr="007304DD" w:rsidRDefault="007A3C20" w:rsidP="00B67113">
            <w:pPr>
              <w:pStyle w:val="NormalWeb"/>
              <w:numPr>
                <w:ilvl w:val="0"/>
                <w:numId w:val="3"/>
              </w:numPr>
              <w:tabs>
                <w:tab w:val="clear" w:pos="720"/>
                <w:tab w:val="num" w:pos="307"/>
              </w:tabs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 xml:space="preserve">Career options </w:t>
            </w:r>
          </w:p>
          <w:p w14:paraId="4A575AE3" w14:textId="56F7B773" w:rsidR="007A3C20" w:rsidRPr="007304DD" w:rsidRDefault="007A3C20" w:rsidP="00B67113">
            <w:pPr>
              <w:pStyle w:val="NormalWeb"/>
              <w:numPr>
                <w:ilvl w:val="0"/>
                <w:numId w:val="1"/>
              </w:numPr>
              <w:spacing w:before="0" w:beforeAutospacing="0" w:after="20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 xml:space="preserve">Which options seem like a good fit 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9FBE" w14:textId="44CB1FCC" w:rsidR="007A3C20" w:rsidRPr="007304DD" w:rsidRDefault="0066197B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>Y</w:t>
            </w:r>
            <w:r w:rsidR="00004A97" w:rsidRPr="53FEE80F">
              <w:rPr>
                <w:rFonts w:ascii="Avenir Next LT Pro" w:hAnsi="Avenir Next LT Pro"/>
                <w:color w:val="000000" w:themeColor="text1"/>
              </w:rPr>
              <w:t>outh</w:t>
            </w:r>
            <w:r w:rsidRPr="53FEE80F">
              <w:rPr>
                <w:rFonts w:ascii="Avenir Next LT Pro" w:hAnsi="Avenir Next LT Pro"/>
                <w:color w:val="000000" w:themeColor="text1"/>
              </w:rPr>
              <w:t xml:space="preserve"> </w:t>
            </w:r>
            <w:r w:rsidR="0015319F" w:rsidRPr="53FEE80F">
              <w:rPr>
                <w:rFonts w:ascii="Avenir Next LT Pro" w:hAnsi="Avenir Next LT Pro"/>
                <w:color w:val="000000" w:themeColor="text1"/>
              </w:rPr>
              <w:t>learn more about</w:t>
            </w:r>
            <w:r w:rsidR="1B3E7BB1" w:rsidRPr="53FEE80F">
              <w:rPr>
                <w:rFonts w:ascii="Avenir Next LT Pro" w:hAnsi="Avenir Next LT Pro"/>
                <w:color w:val="000000" w:themeColor="text1"/>
              </w:rPr>
              <w:t>:</w:t>
            </w:r>
            <w:r>
              <w:tab/>
            </w:r>
          </w:p>
          <w:p w14:paraId="746AF75D" w14:textId="77777777" w:rsidR="007A3C20" w:rsidRPr="007304DD" w:rsidRDefault="007A3C20" w:rsidP="00F422F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College pathway</w:t>
            </w:r>
          </w:p>
          <w:p w14:paraId="46A0A598" w14:textId="77777777" w:rsidR="007A3C20" w:rsidRPr="007304DD" w:rsidRDefault="007A3C20" w:rsidP="00F422F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Trades pathway</w:t>
            </w:r>
          </w:p>
          <w:p w14:paraId="1BFD86F9" w14:textId="77777777" w:rsidR="007A3C20" w:rsidRPr="007304DD" w:rsidRDefault="007A3C20" w:rsidP="00F422F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Military pathway</w:t>
            </w:r>
          </w:p>
          <w:p w14:paraId="52903DC3" w14:textId="65A3C033" w:rsidR="00DA0E12" w:rsidRPr="007304DD" w:rsidRDefault="007A3C20" w:rsidP="046FD46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46FD464">
              <w:rPr>
                <w:rFonts w:ascii="Avenir Next LT Pro" w:hAnsi="Avenir Next LT Pro"/>
                <w:color w:val="000000" w:themeColor="text1"/>
              </w:rPr>
              <w:t>Workforce pathway</w:t>
            </w:r>
          </w:p>
          <w:p w14:paraId="682FAE42" w14:textId="0E39DD9C" w:rsidR="00C17BD1" w:rsidRPr="00C17BD1" w:rsidRDefault="46E3BA17" w:rsidP="00C17BD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46FD464">
              <w:rPr>
                <w:rFonts w:ascii="Avenir Next LT Pro" w:hAnsi="Avenir Next LT Pro"/>
                <w:color w:val="000000" w:themeColor="text1"/>
              </w:rPr>
              <w:t>Entrepreneurship pathway</w:t>
            </w:r>
          </w:p>
        </w:tc>
      </w:tr>
      <w:tr w:rsidR="007A3C20" w:rsidRPr="007304DD" w14:paraId="546BA37B" w14:textId="77777777" w:rsidTr="53FEE80F">
        <w:trPr>
          <w:trHeight w:val="1636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89D7" w14:textId="77777777" w:rsidR="007A3C20" w:rsidRDefault="009B258D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Career </w:t>
            </w:r>
            <w:r w:rsidR="14EB2406" w:rsidRPr="046FD464">
              <w:rPr>
                <w:rFonts w:ascii="Avenir Next LT Pro" w:hAnsi="Avenir Next LT Pro"/>
                <w:b/>
                <w:bCs/>
                <w:color w:val="000000" w:themeColor="text1"/>
              </w:rPr>
              <w:t>Launch</w:t>
            </w:r>
          </w:p>
          <w:p w14:paraId="387282BD" w14:textId="04653B7B" w:rsidR="00236139" w:rsidRPr="00236139" w:rsidRDefault="00A94D69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Learning at work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64DA" w14:textId="57A1471E" w:rsidR="007A3C20" w:rsidRPr="007304DD" w:rsidRDefault="007A3C20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 xml:space="preserve">Provide opportunities for </w:t>
            </w:r>
            <w:r w:rsidR="00002988" w:rsidRPr="53FEE80F">
              <w:rPr>
                <w:rFonts w:ascii="Avenir Next LT Pro" w:hAnsi="Avenir Next LT Pro"/>
                <w:color w:val="000000" w:themeColor="text1"/>
              </w:rPr>
              <w:t xml:space="preserve">youth </w:t>
            </w:r>
            <w:r w:rsidRPr="53FEE80F">
              <w:rPr>
                <w:rFonts w:ascii="Avenir Next LT Pro" w:hAnsi="Avenir Next LT Pro"/>
                <w:color w:val="000000" w:themeColor="text1"/>
              </w:rPr>
              <w:t>to </w:t>
            </w:r>
            <w:r w:rsidR="00F14C14" w:rsidRPr="53FEE80F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practice</w:t>
            </w:r>
            <w:r w:rsidR="2EAFB110" w:rsidRPr="53FEE80F">
              <w:rPr>
                <w:rFonts w:ascii="Avenir Next LT Pro" w:hAnsi="Avenir Next LT Pro"/>
                <w:i/>
                <w:iCs/>
                <w:color w:val="000000" w:themeColor="text1"/>
                <w:u w:val="single"/>
              </w:rPr>
              <w:t>:</w:t>
            </w:r>
          </w:p>
          <w:p w14:paraId="6F3FD104" w14:textId="73B3EF26" w:rsidR="007A3C20" w:rsidRPr="007304DD" w:rsidRDefault="005643DB" w:rsidP="0099372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Skills</w:t>
            </w:r>
          </w:p>
          <w:p w14:paraId="7E426DC7" w14:textId="5739B7A0" w:rsidR="007A3C20" w:rsidRPr="007304DD" w:rsidRDefault="007A3C20" w:rsidP="0099372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Solv</w:t>
            </w:r>
            <w:r w:rsidR="005643DB">
              <w:rPr>
                <w:rFonts w:ascii="Avenir Next LT Pro" w:hAnsi="Avenir Next LT Pro"/>
                <w:color w:val="000000"/>
              </w:rPr>
              <w:t>ing</w:t>
            </w:r>
            <w:r w:rsidRPr="007304DD">
              <w:rPr>
                <w:rFonts w:ascii="Avenir Next LT Pro" w:hAnsi="Avenir Next LT Pro"/>
                <w:color w:val="000000"/>
              </w:rPr>
              <w:t xml:space="preserve"> problems</w:t>
            </w:r>
          </w:p>
          <w:p w14:paraId="557A57B7" w14:textId="4AF9DE1C" w:rsidR="007A3C20" w:rsidRPr="007304DD" w:rsidRDefault="007A3C20" w:rsidP="0099372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Communicat</w:t>
            </w:r>
            <w:r w:rsidR="005643DB">
              <w:rPr>
                <w:rFonts w:ascii="Avenir Next LT Pro" w:hAnsi="Avenir Next LT Pro"/>
                <w:color w:val="000000"/>
              </w:rPr>
              <w:t>ion</w:t>
            </w:r>
          </w:p>
          <w:p w14:paraId="5183DB06" w14:textId="1C076B25" w:rsidR="007A3C20" w:rsidRPr="007304DD" w:rsidRDefault="007A3C20" w:rsidP="0099372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Work</w:t>
            </w:r>
            <w:r w:rsidR="005643DB">
              <w:rPr>
                <w:rFonts w:ascii="Avenir Next LT Pro" w:hAnsi="Avenir Next LT Pro"/>
                <w:color w:val="000000"/>
              </w:rPr>
              <w:t>ing</w:t>
            </w:r>
            <w:r w:rsidRPr="007304DD">
              <w:rPr>
                <w:rFonts w:ascii="Avenir Next LT Pro" w:hAnsi="Avenir Next LT Pro"/>
                <w:color w:val="000000"/>
              </w:rPr>
              <w:t xml:space="preserve"> in diverse teams</w:t>
            </w:r>
          </w:p>
          <w:p w14:paraId="4A766353" w14:textId="1EB9D863" w:rsidR="007A3C20" w:rsidRPr="007304DD" w:rsidRDefault="005643DB" w:rsidP="0099372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 xml:space="preserve">Time </w:t>
            </w:r>
            <w:r w:rsidR="00A03B0B">
              <w:rPr>
                <w:rFonts w:ascii="Avenir Next LT Pro" w:hAnsi="Avenir Next LT Pro"/>
                <w:color w:val="000000"/>
              </w:rPr>
              <w:t>m</w:t>
            </w:r>
            <w:r>
              <w:rPr>
                <w:rFonts w:ascii="Avenir Next LT Pro" w:hAnsi="Avenir Next LT Pro"/>
                <w:color w:val="000000"/>
              </w:rPr>
              <w:t>anagement</w:t>
            </w:r>
          </w:p>
          <w:p w14:paraId="3ACD4171" w14:textId="77777777" w:rsidR="007A3C20" w:rsidRPr="007304DD" w:rsidRDefault="007A3C20" w:rsidP="0099372D">
            <w:pPr>
              <w:pStyle w:val="NormalWeb"/>
              <w:numPr>
                <w:ilvl w:val="0"/>
                <w:numId w:val="5"/>
              </w:numPr>
              <w:spacing w:before="0" w:beforeAutospacing="0" w:after="20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Set career goals, create a plan and follow through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612B" w14:textId="5F872994" w:rsidR="007A3C20" w:rsidRPr="007304DD" w:rsidRDefault="00002988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 xml:space="preserve">Youth </w:t>
            </w:r>
            <w:r w:rsidR="007A3C20" w:rsidRPr="53FEE80F">
              <w:rPr>
                <w:rFonts w:ascii="Avenir Next LT Pro" w:hAnsi="Avenir Next LT Pro"/>
                <w:color w:val="000000" w:themeColor="text1"/>
              </w:rPr>
              <w:t>develop</w:t>
            </w:r>
            <w:r w:rsidR="28635F26" w:rsidRPr="53FEE80F">
              <w:rPr>
                <w:rFonts w:ascii="Avenir Next LT Pro" w:hAnsi="Avenir Next LT Pro"/>
                <w:color w:val="000000" w:themeColor="text1"/>
              </w:rPr>
              <w:t>:</w:t>
            </w:r>
          </w:p>
          <w:p w14:paraId="132095A7" w14:textId="5A58C759" w:rsidR="007A3C20" w:rsidRPr="007304DD" w:rsidRDefault="007A3C20" w:rsidP="00F422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Applied academic knowledge and critical thinking</w:t>
            </w:r>
            <w:r w:rsidR="0066197B">
              <w:rPr>
                <w:rFonts w:ascii="Avenir Next LT Pro" w:hAnsi="Avenir Next LT Pro"/>
                <w:color w:val="000000"/>
              </w:rPr>
              <w:t xml:space="preserve"> </w:t>
            </w:r>
          </w:p>
          <w:p w14:paraId="6419D1DA" w14:textId="115344A6" w:rsidR="007A3C20" w:rsidRDefault="007A3C20" w:rsidP="00F422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Effective relationship and workplace skills (</w:t>
            </w:r>
            <w:r w:rsidR="00DA0E12" w:rsidRPr="007304DD">
              <w:rPr>
                <w:rFonts w:ascii="Avenir Next LT Pro" w:hAnsi="Avenir Next LT Pro"/>
                <w:color w:val="000000"/>
              </w:rPr>
              <w:t xml:space="preserve">sometimes called </w:t>
            </w:r>
            <w:r w:rsidRPr="007304DD">
              <w:rPr>
                <w:rFonts w:ascii="Avenir Next LT Pro" w:hAnsi="Avenir Next LT Pro"/>
                <w:color w:val="000000"/>
              </w:rPr>
              <w:t>“soft skills”) </w:t>
            </w:r>
          </w:p>
          <w:p w14:paraId="4A8CB633" w14:textId="0C9CDC15" w:rsidR="0066197B" w:rsidRDefault="0066197B" w:rsidP="00F422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Employability skills</w:t>
            </w:r>
          </w:p>
          <w:p w14:paraId="1E1C94C3" w14:textId="46632D5A" w:rsidR="005F7004" w:rsidRPr="007304DD" w:rsidRDefault="004C2D85" w:rsidP="00F422F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 xml:space="preserve">Connections to more opportunities </w:t>
            </w:r>
          </w:p>
          <w:p w14:paraId="4D947C26" w14:textId="5997D5AE" w:rsidR="005F7004" w:rsidRPr="005F7004" w:rsidRDefault="007A3C20" w:rsidP="005F7004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 w:rsidRPr="007304DD">
              <w:rPr>
                <w:rFonts w:ascii="Avenir Next LT Pro" w:hAnsi="Avenir Next LT Pro"/>
                <w:color w:val="000000"/>
              </w:rPr>
              <w:t>Plans that will move them toward their career goals</w:t>
            </w:r>
          </w:p>
        </w:tc>
      </w:tr>
      <w:tr w:rsidR="00004A97" w:rsidRPr="007304DD" w14:paraId="05693A21" w14:textId="77777777" w:rsidTr="53FEE80F">
        <w:trPr>
          <w:trHeight w:val="1636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FFD1" w14:textId="77777777" w:rsidR="00004A97" w:rsidRDefault="009B258D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</w:rPr>
              <w:t xml:space="preserve">Career </w:t>
            </w:r>
            <w:r w:rsidR="00004A97">
              <w:rPr>
                <w:rFonts w:ascii="Avenir Next LT Pro" w:hAnsi="Avenir Next LT Pro"/>
                <w:b/>
                <w:bCs/>
                <w:color w:val="000000" w:themeColor="text1"/>
              </w:rPr>
              <w:t>Advancement &amp; Retention</w:t>
            </w:r>
          </w:p>
          <w:p w14:paraId="2B7B0C6E" w14:textId="1AFAD302" w:rsidR="00A94D69" w:rsidRPr="00A94D69" w:rsidRDefault="00A94D69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i/>
                <w:iCs/>
                <w:color w:val="000000" w:themeColor="text1"/>
              </w:rPr>
              <w:t>Growing through work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44EA" w14:textId="7A4A399C" w:rsidR="00004A97" w:rsidRDefault="00002988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Provide opportunities for youth to</w:t>
            </w:r>
            <w:r w:rsidR="005D71F6">
              <w:rPr>
                <w:rFonts w:ascii="Avenir Next LT Pro" w:hAnsi="Avenir Next LT Pro"/>
                <w:color w:val="000000"/>
              </w:rPr>
              <w:t xml:space="preserve"> </w:t>
            </w:r>
            <w:r w:rsidR="00F14C14" w:rsidRPr="007F547F">
              <w:rPr>
                <w:rFonts w:ascii="Avenir Next LT Pro" w:hAnsi="Avenir Next LT Pro"/>
                <w:i/>
                <w:iCs/>
                <w:color w:val="000000"/>
                <w:u w:val="single"/>
              </w:rPr>
              <w:t>strategize</w:t>
            </w:r>
            <w:r w:rsidR="00552C64">
              <w:rPr>
                <w:rFonts w:ascii="Avenir Next LT Pro" w:hAnsi="Avenir Next LT Pro"/>
                <w:i/>
                <w:iCs/>
                <w:color w:val="000000"/>
                <w:u w:val="single"/>
              </w:rPr>
              <w:t>:</w:t>
            </w:r>
          </w:p>
          <w:p w14:paraId="145A12AD" w14:textId="77777777" w:rsidR="003159D6" w:rsidRDefault="002E0721" w:rsidP="002E072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Network with professionals from the field of th</w:t>
            </w:r>
            <w:r w:rsidR="00811ED9">
              <w:rPr>
                <w:rFonts w:ascii="Avenir Next LT Pro" w:hAnsi="Avenir Next LT Pro"/>
                <w:color w:val="000000"/>
              </w:rPr>
              <w:t>eir interest</w:t>
            </w:r>
          </w:p>
          <w:p w14:paraId="2A988F56" w14:textId="7D578A58" w:rsidR="00811ED9" w:rsidRPr="00811ED9" w:rsidRDefault="00811ED9" w:rsidP="004C76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97" w:hanging="323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 xml:space="preserve">Take advantage of mentorship opportunities </w:t>
            </w:r>
          </w:p>
        </w:tc>
        <w:tc>
          <w:tcPr>
            <w:tcW w:w="4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1693" w14:textId="580FF284" w:rsidR="00004A97" w:rsidRDefault="003159D6" w:rsidP="53FEE80F">
            <w:pPr>
              <w:pStyle w:val="NormalWeb"/>
              <w:spacing w:before="0" w:beforeAutospacing="0" w:after="0" w:afterAutospacing="0"/>
              <w:rPr>
                <w:rFonts w:ascii="Avenir Next LT Pro" w:hAnsi="Avenir Next LT Pro"/>
                <w:color w:val="000000"/>
              </w:rPr>
            </w:pPr>
            <w:r w:rsidRPr="53FEE80F">
              <w:rPr>
                <w:rFonts w:ascii="Avenir Next LT Pro" w:hAnsi="Avenir Next LT Pro"/>
                <w:color w:val="000000" w:themeColor="text1"/>
              </w:rPr>
              <w:t>Youth develop</w:t>
            </w:r>
            <w:r w:rsidR="547AED80" w:rsidRPr="53FEE80F">
              <w:rPr>
                <w:rFonts w:ascii="Avenir Next LT Pro" w:hAnsi="Avenir Next LT Pro"/>
                <w:color w:val="000000" w:themeColor="text1"/>
              </w:rPr>
              <w:t>:</w:t>
            </w:r>
          </w:p>
          <w:p w14:paraId="0C7622E8" w14:textId="1E06D5DF" w:rsidR="00D06040" w:rsidRDefault="00D06040" w:rsidP="001D615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Personal branding</w:t>
            </w:r>
            <w:r w:rsidR="000B3B5C">
              <w:rPr>
                <w:rFonts w:ascii="Avenir Next LT Pro" w:hAnsi="Avenir Next LT Pro"/>
                <w:color w:val="000000"/>
              </w:rPr>
              <w:t xml:space="preserve"> and communication</w:t>
            </w:r>
            <w:r>
              <w:rPr>
                <w:rFonts w:ascii="Avenir Next LT Pro" w:hAnsi="Avenir Next LT Pro"/>
                <w:color w:val="000000"/>
              </w:rPr>
              <w:t xml:space="preserve"> skills</w:t>
            </w:r>
            <w:r w:rsidR="001D6152">
              <w:rPr>
                <w:rFonts w:ascii="Avenir Next LT Pro" w:hAnsi="Avenir Next LT Pro"/>
                <w:color w:val="000000"/>
              </w:rPr>
              <w:t>, s</w:t>
            </w:r>
            <w:r w:rsidRPr="001D6152">
              <w:rPr>
                <w:rFonts w:ascii="Avenir Next LT Pro" w:hAnsi="Avenir Next LT Pro"/>
                <w:color w:val="000000"/>
              </w:rPr>
              <w:t>elf-confidence</w:t>
            </w:r>
          </w:p>
          <w:p w14:paraId="39BF92A3" w14:textId="4D268084" w:rsidR="001D6152" w:rsidRPr="006B3A99" w:rsidRDefault="001D6152" w:rsidP="00BD63E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hanging="274"/>
              <w:textAlignment w:val="baseline"/>
              <w:rPr>
                <w:rFonts w:ascii="Avenir Next LT Pro" w:hAnsi="Avenir Next LT Pro"/>
                <w:color w:val="000000"/>
              </w:rPr>
            </w:pPr>
            <w:r>
              <w:rPr>
                <w:rFonts w:ascii="Avenir Next LT Pro" w:hAnsi="Avenir Next LT Pro"/>
                <w:color w:val="000000"/>
              </w:rPr>
              <w:t>Deep rooted connections to their field of interests</w:t>
            </w:r>
          </w:p>
        </w:tc>
      </w:tr>
    </w:tbl>
    <w:p w14:paraId="63B3D107" w14:textId="77777777" w:rsidR="007A3C20" w:rsidRPr="007304DD" w:rsidRDefault="007A3C20" w:rsidP="000B4AC8">
      <w:pPr>
        <w:shd w:val="clear" w:color="auto" w:fill="FFFFFF"/>
        <w:spacing w:after="120"/>
        <w:rPr>
          <w:rFonts w:ascii="Avenir Next LT Pro" w:eastAsia="Times New Roman" w:hAnsi="Avenir Next LT Pro" w:cs="Tahoma"/>
          <w:color w:val="000000"/>
          <w:sz w:val="12"/>
          <w:szCs w:val="12"/>
        </w:rPr>
      </w:pPr>
    </w:p>
    <w:p w14:paraId="69DDD61F" w14:textId="049C7F87" w:rsidR="00DB3287" w:rsidRPr="007304DD" w:rsidRDefault="008A4523" w:rsidP="046FD464">
      <w:pPr>
        <w:shd w:val="clear" w:color="auto" w:fill="FFFFFF" w:themeFill="background1"/>
        <w:spacing w:after="120"/>
        <w:rPr>
          <w:rFonts w:ascii="Avenir Next LT Pro" w:eastAsia="Times New Roman" w:hAnsi="Avenir Next LT Pro" w:cs="Tahoma"/>
          <w:color w:val="000000"/>
        </w:rPr>
      </w:pPr>
      <w:r w:rsidRPr="046FD464">
        <w:rPr>
          <w:rFonts w:ascii="Avenir Next LT Pro" w:eastAsia="Times New Roman" w:hAnsi="Avenir Next LT Pro" w:cs="Tahoma"/>
          <w:color w:val="000000" w:themeColor="text1"/>
        </w:rPr>
        <w:t>Download</w:t>
      </w:r>
      <w:r w:rsidR="0079668E" w:rsidRPr="046FD464">
        <w:rPr>
          <w:rFonts w:ascii="Avenir Next LT Pro" w:eastAsia="Times New Roman" w:hAnsi="Avenir Next LT Pro" w:cs="Tahoma"/>
          <w:color w:val="000000" w:themeColor="text1"/>
        </w:rPr>
        <w:t xml:space="preserve"> the </w:t>
      </w:r>
      <w:r w:rsidR="0079668E" w:rsidRPr="046FD464">
        <w:rPr>
          <w:rFonts w:ascii="Avenir Next LT Pro" w:eastAsia="Times New Roman" w:hAnsi="Avenir Next LT Pro" w:cs="Tahoma"/>
          <w:b/>
          <w:color w:val="000000" w:themeColor="text1"/>
        </w:rPr>
        <w:t xml:space="preserve">Career </w:t>
      </w:r>
      <w:r w:rsidR="31F27E7B" w:rsidRPr="459B7241">
        <w:rPr>
          <w:rFonts w:ascii="Avenir Next LT Pro" w:eastAsia="Times New Roman" w:hAnsi="Avenir Next LT Pro" w:cs="Tahoma"/>
          <w:b/>
          <w:bCs/>
          <w:color w:val="000000" w:themeColor="text1"/>
        </w:rPr>
        <w:t>Connected Learning</w:t>
      </w:r>
      <w:r w:rsidR="0079668E" w:rsidRPr="459B7241">
        <w:rPr>
          <w:rFonts w:ascii="Avenir Next LT Pro" w:eastAsia="Times New Roman" w:hAnsi="Avenir Next LT Pro" w:cs="Tahoma"/>
          <w:b/>
          <w:bCs/>
          <w:color w:val="000000" w:themeColor="text1"/>
        </w:rPr>
        <w:t xml:space="preserve"> </w:t>
      </w:r>
      <w:r w:rsidR="0079668E" w:rsidRPr="046FD464">
        <w:rPr>
          <w:rFonts w:ascii="Avenir Next LT Pro" w:eastAsia="Times New Roman" w:hAnsi="Avenir Next LT Pro" w:cs="Tahoma"/>
          <w:b/>
          <w:color w:val="000000" w:themeColor="text1"/>
        </w:rPr>
        <w:t>Guidebook</w:t>
      </w:r>
      <w:r w:rsidR="0079668E" w:rsidRPr="046FD464">
        <w:rPr>
          <w:rFonts w:ascii="Avenir Next LT Pro" w:eastAsia="Times New Roman" w:hAnsi="Avenir Next LT Pro" w:cs="Tahoma"/>
          <w:color w:val="000000" w:themeColor="text1"/>
        </w:rPr>
        <w:t xml:space="preserve"> </w:t>
      </w:r>
      <w:r w:rsidR="00E85028" w:rsidRPr="046FD464">
        <w:rPr>
          <w:rFonts w:ascii="Avenir Next LT Pro" w:eastAsia="Times New Roman" w:hAnsi="Avenir Next LT Pro" w:cs="Tahoma"/>
          <w:color w:val="000000" w:themeColor="text1"/>
        </w:rPr>
        <w:t xml:space="preserve">for </w:t>
      </w:r>
      <w:r w:rsidR="0066197B">
        <w:rPr>
          <w:rFonts w:ascii="Avenir Next LT Pro" w:eastAsia="Times New Roman" w:hAnsi="Avenir Next LT Pro" w:cs="Tahoma"/>
          <w:color w:val="000000" w:themeColor="text1"/>
        </w:rPr>
        <w:t xml:space="preserve">procedures, processes, </w:t>
      </w:r>
      <w:r w:rsidR="004201F2" w:rsidRPr="046FD464">
        <w:rPr>
          <w:rFonts w:ascii="Avenir Next LT Pro" w:eastAsia="Times New Roman" w:hAnsi="Avenir Next LT Pro" w:cs="Tahoma"/>
          <w:color w:val="000000" w:themeColor="text1"/>
        </w:rPr>
        <w:t xml:space="preserve">activity </w:t>
      </w:r>
      <w:r w:rsidR="0079668E" w:rsidRPr="046FD464">
        <w:rPr>
          <w:rFonts w:ascii="Avenir Next LT Pro" w:eastAsia="Times New Roman" w:hAnsi="Avenir Next LT Pro" w:cs="Tahoma"/>
          <w:color w:val="000000" w:themeColor="text1"/>
        </w:rPr>
        <w:t>ideas and examples</w:t>
      </w:r>
      <w:r w:rsidR="004201F2" w:rsidRPr="046FD464">
        <w:rPr>
          <w:rFonts w:ascii="Avenir Next LT Pro" w:eastAsia="Times New Roman" w:hAnsi="Avenir Next LT Pro" w:cs="Tahoma"/>
          <w:color w:val="000000" w:themeColor="text1"/>
        </w:rPr>
        <w:t>.</w:t>
      </w:r>
      <w:r w:rsidR="0079668E" w:rsidRPr="046FD464">
        <w:rPr>
          <w:rFonts w:ascii="Avenir Next LT Pro" w:eastAsia="Times New Roman" w:hAnsi="Avenir Next LT Pro" w:cs="Tahoma"/>
          <w:color w:val="000000" w:themeColor="text1"/>
        </w:rPr>
        <w:t xml:space="preserve"> </w:t>
      </w:r>
    </w:p>
    <w:p w14:paraId="4FAFC8F1" w14:textId="6FEE4A28" w:rsidR="00B3421B" w:rsidRPr="00893AD4" w:rsidRDefault="000C00DF" w:rsidP="00893AD4">
      <w:pPr>
        <w:spacing w:after="120"/>
        <w:jc w:val="center"/>
        <w:rPr>
          <w:rFonts w:ascii="Avenir Next LT Pro" w:hAnsi="Avenir Next LT Pro" w:cstheme="minorHAnsi"/>
          <w:b/>
          <w:bCs/>
          <w:color w:val="385623" w:themeColor="accent6" w:themeShade="80"/>
          <w:sz w:val="28"/>
          <w:szCs w:val="28"/>
        </w:rPr>
      </w:pPr>
      <w:r w:rsidRPr="007304DD">
        <w:rPr>
          <w:rFonts w:ascii="Avenir Next LT Pro" w:hAnsi="Avenir Next LT Pro" w:cstheme="minorHAnsi"/>
          <w:b/>
          <w:bCs/>
          <w:color w:val="385623" w:themeColor="accent6" w:themeShade="80"/>
          <w:sz w:val="28"/>
          <w:szCs w:val="28"/>
        </w:rPr>
        <w:t xml:space="preserve">Possible Levels of </w:t>
      </w:r>
      <w:r w:rsidR="003065A7" w:rsidRPr="007304DD">
        <w:rPr>
          <w:rFonts w:ascii="Avenir Next LT Pro" w:hAnsi="Avenir Next LT Pro" w:cstheme="minorHAnsi"/>
          <w:b/>
          <w:bCs/>
          <w:color w:val="385623" w:themeColor="accent6" w:themeShade="80"/>
          <w:sz w:val="28"/>
          <w:szCs w:val="28"/>
        </w:rPr>
        <w:t xml:space="preserve">Intensity for </w:t>
      </w:r>
      <w:r w:rsidRPr="007304DD">
        <w:rPr>
          <w:rFonts w:ascii="Avenir Next LT Pro" w:hAnsi="Avenir Next LT Pro" w:cstheme="minorHAnsi"/>
          <w:b/>
          <w:bCs/>
          <w:color w:val="385623" w:themeColor="accent6" w:themeShade="80"/>
          <w:sz w:val="28"/>
          <w:szCs w:val="28"/>
        </w:rPr>
        <w:t xml:space="preserve">Implementation 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3150"/>
        <w:gridCol w:w="3330"/>
        <w:gridCol w:w="3600"/>
      </w:tblGrid>
      <w:tr w:rsidR="00A124CB" w:rsidRPr="007304DD" w14:paraId="6AE28595" w14:textId="77777777" w:rsidTr="046FD464">
        <w:tc>
          <w:tcPr>
            <w:tcW w:w="31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99854BD" w14:textId="0964D101" w:rsidR="00A124CB" w:rsidRPr="007304DD" w:rsidRDefault="00A124CB">
            <w:pPr>
              <w:pStyle w:val="ListParagraph"/>
              <w:tabs>
                <w:tab w:val="left" w:pos="810"/>
              </w:tabs>
              <w:ind w:left="0"/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</w:pPr>
            <w:r w:rsidRPr="007304DD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>Beginner</w:t>
            </w: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98AA98"/>
          </w:tcPr>
          <w:p w14:paraId="53F7AD5A" w14:textId="1765E918" w:rsidR="00A124CB" w:rsidRPr="007304DD" w:rsidRDefault="00A124CB">
            <w:pPr>
              <w:pStyle w:val="ListParagraph"/>
              <w:tabs>
                <w:tab w:val="left" w:pos="810"/>
              </w:tabs>
              <w:ind w:left="0"/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</w:pPr>
            <w:r w:rsidRPr="007304DD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>Intermediate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FC2359A" w14:textId="4DCD12B1" w:rsidR="00A124CB" w:rsidRPr="007304DD" w:rsidRDefault="00861564">
            <w:pPr>
              <w:pStyle w:val="ListParagraph"/>
              <w:tabs>
                <w:tab w:val="left" w:pos="810"/>
              </w:tabs>
              <w:ind w:left="0"/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</w:pPr>
            <w:r w:rsidRPr="007304DD">
              <w:rPr>
                <w:rFonts w:ascii="Avenir Next LT Pro" w:hAnsi="Avenir Next LT Pro" w:cstheme="minorHAnsi"/>
                <w:b/>
                <w:bCs/>
                <w:sz w:val="28"/>
                <w:szCs w:val="28"/>
              </w:rPr>
              <w:t>Advanced</w:t>
            </w:r>
          </w:p>
        </w:tc>
      </w:tr>
      <w:tr w:rsidR="00A124CB" w:rsidRPr="007304DD" w14:paraId="1A4B619F" w14:textId="77777777" w:rsidTr="046FD464">
        <w:tc>
          <w:tcPr>
            <w:tcW w:w="31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F2B91B4" w14:textId="5FEED333" w:rsidR="00A124CB" w:rsidRPr="007304DD" w:rsidRDefault="00BE4B4E" w:rsidP="009B114F">
            <w:pPr>
              <w:pStyle w:val="ListParagraph"/>
              <w:tabs>
                <w:tab w:val="left" w:pos="810"/>
              </w:tabs>
              <w:spacing w:after="120"/>
              <w:ind w:left="0"/>
              <w:rPr>
                <w:rFonts w:ascii="Avenir Next LT Pro" w:hAnsi="Avenir Next LT Pro" w:cstheme="minorHAnsi"/>
              </w:rPr>
            </w:pPr>
            <w:r w:rsidRPr="007304DD">
              <w:rPr>
                <w:rFonts w:ascii="Avenir Next LT Pro" w:hAnsi="Avenir Next LT Pro" w:cs="Calibri"/>
                <w:color w:val="000000"/>
              </w:rPr>
              <w:t xml:space="preserve">Add a </w:t>
            </w:r>
            <w:r w:rsidR="00861564" w:rsidRPr="007304DD">
              <w:rPr>
                <w:rFonts w:ascii="Avenir Next LT Pro" w:hAnsi="Avenir Next LT Pro" w:cs="Calibri"/>
                <w:color w:val="000000"/>
              </w:rPr>
              <w:t xml:space="preserve">career </w:t>
            </w:r>
            <w:r w:rsidR="000B3B5C">
              <w:rPr>
                <w:rFonts w:ascii="Avenir Next LT Pro" w:hAnsi="Avenir Next LT Pro" w:cs="Calibri"/>
                <w:color w:val="000000"/>
              </w:rPr>
              <w:t>activity type</w:t>
            </w:r>
            <w:r w:rsidR="00861564" w:rsidRPr="007304DD" w:rsidDel="00BE1197">
              <w:rPr>
                <w:rFonts w:ascii="Avenir Next LT Pro" w:hAnsi="Avenir Next LT Pro" w:cs="Calibri"/>
                <w:color w:val="000000"/>
              </w:rPr>
              <w:t xml:space="preserve"> </w:t>
            </w:r>
            <w:r w:rsidR="00861564" w:rsidRPr="007304DD">
              <w:rPr>
                <w:rFonts w:ascii="Avenir Next LT Pro" w:hAnsi="Avenir Next LT Pro" w:cs="Calibri"/>
                <w:color w:val="000000"/>
              </w:rPr>
              <w:t>to your current program culture and activities. Do occasional activities</w:t>
            </w:r>
            <w:r w:rsidR="000E3B12" w:rsidRPr="007304DD">
              <w:rPr>
                <w:rFonts w:ascii="Avenir Next LT Pro" w:hAnsi="Avenir Next LT Pro" w:cs="Calibri"/>
                <w:color w:val="000000"/>
              </w:rPr>
              <w:t xml:space="preserve"> focused on career awareness, exploration and preparation.</w:t>
            </w:r>
            <w:r w:rsidR="00221963">
              <w:rPr>
                <w:rFonts w:ascii="Avenir Next LT Pro" w:hAnsi="Avenir Next LT Pro" w:cs="Calibri"/>
                <w:color w:val="000000"/>
              </w:rPr>
              <w:t xml:space="preserve"> </w:t>
            </w:r>
            <w:r w:rsidR="00AD280D">
              <w:rPr>
                <w:rFonts w:ascii="Avenir Next LT Pro" w:hAnsi="Avenir Next LT Pro" w:cs="Calibri"/>
                <w:color w:val="000000"/>
              </w:rPr>
              <w:t>Typically,</w:t>
            </w:r>
            <w:r w:rsidR="005C716F">
              <w:rPr>
                <w:rFonts w:ascii="Avenir Next LT Pro" w:hAnsi="Avenir Next LT Pro" w:cs="Calibri"/>
                <w:color w:val="000000"/>
              </w:rPr>
              <w:t xml:space="preserve"> you would start here with youth who have </w:t>
            </w:r>
            <w:r w:rsidR="008D6A2C">
              <w:rPr>
                <w:rFonts w:ascii="Avenir Next LT Pro" w:hAnsi="Avenir Next LT Pro" w:cs="Calibri"/>
                <w:color w:val="000000"/>
              </w:rPr>
              <w:t>very limited experiences with career exposure.</w:t>
            </w: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98AA98"/>
          </w:tcPr>
          <w:p w14:paraId="15816183" w14:textId="54D25B4E" w:rsidR="00A124CB" w:rsidRPr="007304DD" w:rsidRDefault="008D6A2C" w:rsidP="009B114F">
            <w:pPr>
              <w:pStyle w:val="ListParagraph"/>
              <w:tabs>
                <w:tab w:val="left" w:pos="810"/>
              </w:tabs>
              <w:spacing w:after="120"/>
              <w:ind w:left="0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="Calibri"/>
                <w:color w:val="000000"/>
              </w:rPr>
              <w:t>For youth who have some experience with career exposure, p</w:t>
            </w:r>
            <w:r w:rsidR="005A7715" w:rsidRPr="007304DD">
              <w:rPr>
                <w:rFonts w:ascii="Avenir Next LT Pro" w:hAnsi="Avenir Next LT Pro" w:cs="Calibri"/>
                <w:color w:val="000000"/>
              </w:rPr>
              <w:t>lan and implement regular activities that focus on career awareness, exploration and preparation.</w:t>
            </w: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F869E22" w14:textId="2518C80B" w:rsidR="00A124CB" w:rsidRPr="007304DD" w:rsidRDefault="005A7715" w:rsidP="009B114F">
            <w:pPr>
              <w:pStyle w:val="ListParagraph"/>
              <w:tabs>
                <w:tab w:val="left" w:pos="810"/>
              </w:tabs>
              <w:spacing w:after="120"/>
              <w:ind w:left="0"/>
              <w:rPr>
                <w:rFonts w:ascii="Avenir Next LT Pro" w:hAnsi="Avenir Next LT Pro" w:cstheme="minorHAnsi"/>
              </w:rPr>
            </w:pPr>
            <w:r w:rsidRPr="007304DD">
              <w:rPr>
                <w:rFonts w:ascii="Avenir Next LT Pro" w:hAnsi="Avenir Next LT Pro" w:cs="Calibri"/>
                <w:color w:val="000000"/>
              </w:rPr>
              <w:t xml:space="preserve">Adapt the career </w:t>
            </w:r>
            <w:r w:rsidR="00BE1197">
              <w:rPr>
                <w:rFonts w:ascii="Avenir Next LT Pro" w:hAnsi="Avenir Next LT Pro" w:cs="Calibri"/>
                <w:color w:val="000000"/>
              </w:rPr>
              <w:t>connected learning model</w:t>
            </w:r>
            <w:r w:rsidR="00BE1197" w:rsidRPr="007304DD">
              <w:rPr>
                <w:rFonts w:ascii="Avenir Next LT Pro" w:hAnsi="Avenir Next LT Pro" w:cs="Calibri"/>
                <w:color w:val="000000"/>
              </w:rPr>
              <w:t xml:space="preserve"> </w:t>
            </w:r>
            <w:r w:rsidRPr="007304DD">
              <w:rPr>
                <w:rFonts w:ascii="Avenir Next LT Pro" w:hAnsi="Avenir Next LT Pro" w:cs="Calibri"/>
                <w:color w:val="000000"/>
              </w:rPr>
              <w:t xml:space="preserve">as the overall theme and organizing principle for your program. You might even rename your </w:t>
            </w:r>
            <w:r w:rsidR="00BE1197">
              <w:rPr>
                <w:rFonts w:ascii="Avenir Next LT Pro" w:hAnsi="Avenir Next LT Pro" w:cs="Calibri"/>
                <w:color w:val="000000"/>
              </w:rPr>
              <w:t xml:space="preserve">youth workforce </w:t>
            </w:r>
            <w:r w:rsidRPr="007304DD">
              <w:rPr>
                <w:rFonts w:ascii="Avenir Next LT Pro" w:hAnsi="Avenir Next LT Pro" w:cs="Calibri"/>
                <w:color w:val="000000"/>
              </w:rPr>
              <w:t>program to emphasize its focus on career awareness, exploration and preparation</w:t>
            </w:r>
            <w:r w:rsidR="00BE1197">
              <w:rPr>
                <w:rFonts w:ascii="Avenir Next LT Pro" w:hAnsi="Avenir Next LT Pro" w:cs="Calibri"/>
                <w:color w:val="000000"/>
              </w:rPr>
              <w:t xml:space="preserve"> activities</w:t>
            </w:r>
            <w:r w:rsidRPr="007304DD">
              <w:rPr>
                <w:rFonts w:ascii="Avenir Next LT Pro" w:hAnsi="Avenir Next LT Pro" w:cs="Calibri"/>
                <w:color w:val="000000"/>
              </w:rPr>
              <w:t>.</w:t>
            </w:r>
            <w:r w:rsidR="00A124CB" w:rsidRPr="007304DD">
              <w:rPr>
                <w:rFonts w:ascii="Avenir Next LT Pro" w:hAnsi="Avenir Next LT Pro" w:cs="Calibri"/>
                <w:color w:val="000000"/>
              </w:rPr>
              <w:t> </w:t>
            </w:r>
          </w:p>
        </w:tc>
      </w:tr>
    </w:tbl>
    <w:p w14:paraId="2F41EB4E" w14:textId="7216609D" w:rsidR="006F2EEA" w:rsidRDefault="006F2EEA"/>
    <w:sectPr w:rsidR="006F2EEA" w:rsidSect="00243F4A">
      <w:headerReference w:type="default" r:id="rId12"/>
      <w:footerReference w:type="default" r:id="rId13"/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7346" w14:textId="77777777" w:rsidR="00DA7396" w:rsidRDefault="00DA7396" w:rsidP="0027457F">
      <w:r>
        <w:separator/>
      </w:r>
    </w:p>
  </w:endnote>
  <w:endnote w:type="continuationSeparator" w:id="0">
    <w:p w14:paraId="20B5F4E0" w14:textId="77777777" w:rsidR="00DA7396" w:rsidRDefault="00DA7396" w:rsidP="0027457F">
      <w:r>
        <w:continuationSeparator/>
      </w:r>
    </w:p>
  </w:endnote>
  <w:endnote w:type="continuationNotice" w:id="1">
    <w:p w14:paraId="6BFA6380" w14:textId="77777777" w:rsidR="00DA7396" w:rsidRDefault="00DA7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5B9" w14:textId="56038CA3" w:rsidR="0027457F" w:rsidRPr="00104250" w:rsidRDefault="007304DD" w:rsidP="007304D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9563" w14:textId="77777777" w:rsidR="00DA7396" w:rsidRDefault="00DA7396" w:rsidP="0027457F">
      <w:r>
        <w:separator/>
      </w:r>
    </w:p>
  </w:footnote>
  <w:footnote w:type="continuationSeparator" w:id="0">
    <w:p w14:paraId="2D4B81B1" w14:textId="77777777" w:rsidR="00DA7396" w:rsidRDefault="00DA7396" w:rsidP="0027457F">
      <w:r>
        <w:continuationSeparator/>
      </w:r>
    </w:p>
  </w:footnote>
  <w:footnote w:type="continuationNotice" w:id="1">
    <w:p w14:paraId="5929192B" w14:textId="77777777" w:rsidR="00DA7396" w:rsidRDefault="00DA7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05FF" w14:textId="2C9AA7C7" w:rsidR="006C296A" w:rsidRPr="00172D27" w:rsidRDefault="006C296A" w:rsidP="006C296A">
    <w:pPr>
      <w:framePr w:wrap="none" w:vAnchor="text" w:hAnchor="margin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14:paraId="1B5AC435" w14:textId="2C8BE469" w:rsidR="0027457F" w:rsidRDefault="00D85915" w:rsidP="009D5109">
    <w:pPr>
      <w:pStyle w:val="Header"/>
      <w:spacing w:line="276" w:lineRule="auto"/>
      <w:ind w:left="360"/>
      <w:rPr>
        <w:rFonts w:ascii="Avenir Next LT Pro" w:hAnsi="Avenir Next LT Pro"/>
        <w:b/>
        <w:color w:val="5C5C5E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D18" w:rsidRPr="00104250">
      <w:rPr>
        <w:rFonts w:ascii="Avenir Next LT Pro" w:hAnsi="Avenir Next LT Pro"/>
        <w:b/>
        <w:color w:val="5C5C5E"/>
        <w:sz w:val="40"/>
        <w:szCs w:val="40"/>
      </w:rPr>
      <w:t xml:space="preserve">Career </w:t>
    </w:r>
    <w:r w:rsidR="00F1205E">
      <w:rPr>
        <w:rFonts w:ascii="Avenir Next LT Pro" w:hAnsi="Avenir Next LT Pro"/>
        <w:b/>
        <w:color w:val="5C5C5E"/>
        <w:sz w:val="40"/>
        <w:szCs w:val="40"/>
      </w:rPr>
      <w:t>Pathways for C</w:t>
    </w:r>
    <w:r w:rsidR="006B3A99">
      <w:rPr>
        <w:rFonts w:ascii="Avenir Next LT Pro" w:hAnsi="Avenir Next LT Pro"/>
        <w:b/>
        <w:color w:val="5C5C5E"/>
        <w:sz w:val="40"/>
        <w:szCs w:val="40"/>
      </w:rPr>
      <w:t xml:space="preserve">2L – PHL </w:t>
    </w:r>
    <w:r w:rsidR="0066197B">
      <w:rPr>
        <w:rFonts w:ascii="Avenir Next LT Pro" w:hAnsi="Avenir Next LT Pro"/>
        <w:b/>
        <w:color w:val="5C5C5E"/>
        <w:sz w:val="40"/>
        <w:szCs w:val="40"/>
      </w:rPr>
      <w:t>Programs</w:t>
    </w:r>
  </w:p>
  <w:p w14:paraId="56A3492A" w14:textId="77777777" w:rsidR="00AD568E" w:rsidRPr="00AD568E" w:rsidRDefault="00AD568E" w:rsidP="009D5109">
    <w:pPr>
      <w:pStyle w:val="Header"/>
      <w:spacing w:line="276" w:lineRule="auto"/>
      <w:ind w:left="360"/>
      <w:rPr>
        <w:rFonts w:ascii="Avenir Next LT Pro" w:hAnsi="Avenir Next LT Pro"/>
        <w:b/>
        <w:color w:val="5B5D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07424">
    <w:abstractNumId w:val="2"/>
  </w:num>
  <w:num w:numId="2" w16cid:durableId="259801639">
    <w:abstractNumId w:val="5"/>
  </w:num>
  <w:num w:numId="3" w16cid:durableId="644284614">
    <w:abstractNumId w:val="0"/>
  </w:num>
  <w:num w:numId="4" w16cid:durableId="1184587471">
    <w:abstractNumId w:val="4"/>
  </w:num>
  <w:num w:numId="5" w16cid:durableId="715548715">
    <w:abstractNumId w:val="3"/>
  </w:num>
  <w:num w:numId="6" w16cid:durableId="259264791">
    <w:abstractNumId w:val="1"/>
  </w:num>
  <w:num w:numId="7" w16cid:durableId="14834253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611CB"/>
    <w:rsid w:val="00067071"/>
    <w:rsid w:val="000765C9"/>
    <w:rsid w:val="000879F5"/>
    <w:rsid w:val="000929C2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483F"/>
    <w:rsid w:val="00210445"/>
    <w:rsid w:val="002117D6"/>
    <w:rsid w:val="00213D62"/>
    <w:rsid w:val="00221963"/>
    <w:rsid w:val="00223360"/>
    <w:rsid w:val="002234B5"/>
    <w:rsid w:val="00227DA0"/>
    <w:rsid w:val="00236139"/>
    <w:rsid w:val="00241C70"/>
    <w:rsid w:val="00243F4A"/>
    <w:rsid w:val="00247959"/>
    <w:rsid w:val="00254FFC"/>
    <w:rsid w:val="002576D5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B9F"/>
    <w:rsid w:val="003065A7"/>
    <w:rsid w:val="003159D6"/>
    <w:rsid w:val="003310B6"/>
    <w:rsid w:val="00335193"/>
    <w:rsid w:val="003413DC"/>
    <w:rsid w:val="003427A7"/>
    <w:rsid w:val="00345F7B"/>
    <w:rsid w:val="00346586"/>
    <w:rsid w:val="003515A7"/>
    <w:rsid w:val="00353F98"/>
    <w:rsid w:val="003560D7"/>
    <w:rsid w:val="0036230D"/>
    <w:rsid w:val="00383201"/>
    <w:rsid w:val="00387FF8"/>
    <w:rsid w:val="00397482"/>
    <w:rsid w:val="003A1200"/>
    <w:rsid w:val="003A1F28"/>
    <w:rsid w:val="003B1E57"/>
    <w:rsid w:val="003B60C5"/>
    <w:rsid w:val="003E0509"/>
    <w:rsid w:val="003E2DF4"/>
    <w:rsid w:val="003E3EC0"/>
    <w:rsid w:val="003F746F"/>
    <w:rsid w:val="003F7A50"/>
    <w:rsid w:val="00402B32"/>
    <w:rsid w:val="00406AE2"/>
    <w:rsid w:val="004141F0"/>
    <w:rsid w:val="004201F2"/>
    <w:rsid w:val="00421E4F"/>
    <w:rsid w:val="0043287F"/>
    <w:rsid w:val="00442079"/>
    <w:rsid w:val="0044490F"/>
    <w:rsid w:val="00452FD7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31ED4"/>
    <w:rsid w:val="00542A05"/>
    <w:rsid w:val="00544953"/>
    <w:rsid w:val="00546376"/>
    <w:rsid w:val="00552C64"/>
    <w:rsid w:val="0055605B"/>
    <w:rsid w:val="0055728E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328CE"/>
    <w:rsid w:val="00637F26"/>
    <w:rsid w:val="006458D4"/>
    <w:rsid w:val="0066197B"/>
    <w:rsid w:val="0067207C"/>
    <w:rsid w:val="006767F5"/>
    <w:rsid w:val="00686673"/>
    <w:rsid w:val="00687E5B"/>
    <w:rsid w:val="00697C02"/>
    <w:rsid w:val="006A12C3"/>
    <w:rsid w:val="006A6071"/>
    <w:rsid w:val="006B3A99"/>
    <w:rsid w:val="006B5BEB"/>
    <w:rsid w:val="006C296A"/>
    <w:rsid w:val="006C5CB3"/>
    <w:rsid w:val="006D696C"/>
    <w:rsid w:val="006E0623"/>
    <w:rsid w:val="006E08AE"/>
    <w:rsid w:val="006E43DA"/>
    <w:rsid w:val="006E77D6"/>
    <w:rsid w:val="006F2EEA"/>
    <w:rsid w:val="0070187F"/>
    <w:rsid w:val="007019C7"/>
    <w:rsid w:val="007117F8"/>
    <w:rsid w:val="00712B3F"/>
    <w:rsid w:val="007304DD"/>
    <w:rsid w:val="00730833"/>
    <w:rsid w:val="00744A3D"/>
    <w:rsid w:val="00745EDB"/>
    <w:rsid w:val="007501AD"/>
    <w:rsid w:val="00755057"/>
    <w:rsid w:val="00760A71"/>
    <w:rsid w:val="00763818"/>
    <w:rsid w:val="0077163C"/>
    <w:rsid w:val="0077203F"/>
    <w:rsid w:val="00775495"/>
    <w:rsid w:val="007831D2"/>
    <w:rsid w:val="007833FD"/>
    <w:rsid w:val="007856C3"/>
    <w:rsid w:val="00795320"/>
    <w:rsid w:val="0079668E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11ED9"/>
    <w:rsid w:val="00815381"/>
    <w:rsid w:val="0084240F"/>
    <w:rsid w:val="00846089"/>
    <w:rsid w:val="00850B61"/>
    <w:rsid w:val="0085526B"/>
    <w:rsid w:val="008578FE"/>
    <w:rsid w:val="00861564"/>
    <w:rsid w:val="00862C6E"/>
    <w:rsid w:val="00872257"/>
    <w:rsid w:val="00880722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27590"/>
    <w:rsid w:val="009358FB"/>
    <w:rsid w:val="00942BFB"/>
    <w:rsid w:val="00952453"/>
    <w:rsid w:val="00955F9F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1F79"/>
    <w:rsid w:val="009D5109"/>
    <w:rsid w:val="009E0076"/>
    <w:rsid w:val="009E5253"/>
    <w:rsid w:val="009F02B2"/>
    <w:rsid w:val="009F1C9B"/>
    <w:rsid w:val="009F76A8"/>
    <w:rsid w:val="00A03B0B"/>
    <w:rsid w:val="00A06A76"/>
    <w:rsid w:val="00A11C65"/>
    <w:rsid w:val="00A124CB"/>
    <w:rsid w:val="00A14AD4"/>
    <w:rsid w:val="00A246AE"/>
    <w:rsid w:val="00A31135"/>
    <w:rsid w:val="00A33C6B"/>
    <w:rsid w:val="00A45E84"/>
    <w:rsid w:val="00A652B8"/>
    <w:rsid w:val="00A70129"/>
    <w:rsid w:val="00A7122F"/>
    <w:rsid w:val="00A75A1D"/>
    <w:rsid w:val="00A81EF9"/>
    <w:rsid w:val="00A83680"/>
    <w:rsid w:val="00A85AC6"/>
    <w:rsid w:val="00A915DA"/>
    <w:rsid w:val="00A94D69"/>
    <w:rsid w:val="00A95446"/>
    <w:rsid w:val="00AA3499"/>
    <w:rsid w:val="00AA5AED"/>
    <w:rsid w:val="00AC1931"/>
    <w:rsid w:val="00AD01EA"/>
    <w:rsid w:val="00AD1C45"/>
    <w:rsid w:val="00AD280D"/>
    <w:rsid w:val="00AD568E"/>
    <w:rsid w:val="00AF2F99"/>
    <w:rsid w:val="00B047FE"/>
    <w:rsid w:val="00B0593C"/>
    <w:rsid w:val="00B07090"/>
    <w:rsid w:val="00B12B25"/>
    <w:rsid w:val="00B1519E"/>
    <w:rsid w:val="00B1788B"/>
    <w:rsid w:val="00B21A70"/>
    <w:rsid w:val="00B2606D"/>
    <w:rsid w:val="00B32079"/>
    <w:rsid w:val="00B3421B"/>
    <w:rsid w:val="00B3561A"/>
    <w:rsid w:val="00B41750"/>
    <w:rsid w:val="00B51513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C008C5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4169B"/>
    <w:rsid w:val="00D42B89"/>
    <w:rsid w:val="00D43ECC"/>
    <w:rsid w:val="00D52CB4"/>
    <w:rsid w:val="00D530DC"/>
    <w:rsid w:val="00D74E8D"/>
    <w:rsid w:val="00D85915"/>
    <w:rsid w:val="00D875AA"/>
    <w:rsid w:val="00D90D62"/>
    <w:rsid w:val="00D95481"/>
    <w:rsid w:val="00D9729C"/>
    <w:rsid w:val="00D975A0"/>
    <w:rsid w:val="00DA0E12"/>
    <w:rsid w:val="00DA7396"/>
    <w:rsid w:val="00DB1E28"/>
    <w:rsid w:val="00DB3287"/>
    <w:rsid w:val="00DB458D"/>
    <w:rsid w:val="00DB4D18"/>
    <w:rsid w:val="00DC393B"/>
    <w:rsid w:val="00DD56DC"/>
    <w:rsid w:val="00DE51E8"/>
    <w:rsid w:val="00DF2C81"/>
    <w:rsid w:val="00DF4D0B"/>
    <w:rsid w:val="00E13634"/>
    <w:rsid w:val="00E236F4"/>
    <w:rsid w:val="00E24CA1"/>
    <w:rsid w:val="00E42A9E"/>
    <w:rsid w:val="00E75F61"/>
    <w:rsid w:val="00E85028"/>
    <w:rsid w:val="00E91669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F03961"/>
    <w:rsid w:val="00F1205E"/>
    <w:rsid w:val="00F14C14"/>
    <w:rsid w:val="00F21B74"/>
    <w:rsid w:val="00F2483E"/>
    <w:rsid w:val="00F304B5"/>
    <w:rsid w:val="00F34589"/>
    <w:rsid w:val="00F422F7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11A7419"/>
    <w:rsid w:val="011CD9F0"/>
    <w:rsid w:val="01D22A6F"/>
    <w:rsid w:val="02B8AA51"/>
    <w:rsid w:val="046FD464"/>
    <w:rsid w:val="067540C3"/>
    <w:rsid w:val="0ED00341"/>
    <w:rsid w:val="138293C1"/>
    <w:rsid w:val="14C0AC28"/>
    <w:rsid w:val="14EB2406"/>
    <w:rsid w:val="1B3E7BB1"/>
    <w:rsid w:val="1B432E4A"/>
    <w:rsid w:val="1CB42D75"/>
    <w:rsid w:val="1D4A56AA"/>
    <w:rsid w:val="1DF0E7E5"/>
    <w:rsid w:val="208B865C"/>
    <w:rsid w:val="21B967B5"/>
    <w:rsid w:val="28297B03"/>
    <w:rsid w:val="28635F26"/>
    <w:rsid w:val="2CEA5A69"/>
    <w:rsid w:val="2CFC3505"/>
    <w:rsid w:val="2DC0D839"/>
    <w:rsid w:val="2EAFB110"/>
    <w:rsid w:val="2F72C253"/>
    <w:rsid w:val="2FD6E56B"/>
    <w:rsid w:val="31F27E7B"/>
    <w:rsid w:val="3730983F"/>
    <w:rsid w:val="3B1833F5"/>
    <w:rsid w:val="3BD7EA0C"/>
    <w:rsid w:val="40749933"/>
    <w:rsid w:val="459B7241"/>
    <w:rsid w:val="46E3BA17"/>
    <w:rsid w:val="4AEF8A63"/>
    <w:rsid w:val="4DB8DFEB"/>
    <w:rsid w:val="4DB91925"/>
    <w:rsid w:val="4E2D24B3"/>
    <w:rsid w:val="4FFCC1A5"/>
    <w:rsid w:val="5092AA83"/>
    <w:rsid w:val="53FEE80F"/>
    <w:rsid w:val="547AED80"/>
    <w:rsid w:val="54DA9A31"/>
    <w:rsid w:val="5884940B"/>
    <w:rsid w:val="5F3CEAEC"/>
    <w:rsid w:val="6297A946"/>
    <w:rsid w:val="63821A96"/>
    <w:rsid w:val="64096A4A"/>
    <w:rsid w:val="684E14D8"/>
    <w:rsid w:val="6A8F871B"/>
    <w:rsid w:val="6D6CC4DB"/>
    <w:rsid w:val="782A2B30"/>
    <w:rsid w:val="7DB6D9EA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57F"/>
  </w:style>
  <w:style w:type="table" w:customStyle="1" w:styleId="TableGrid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1" ma:contentTypeDescription="Create a new document." ma:contentTypeScope="" ma:versionID="c29d5693bd5e36b202213f9e4e9c3d9b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b10ce4f97e090891dbdc2d7cb8abe1dc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7A5DE4-569C-4CEE-962F-D66F8A51A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A5D1F-D791-4CDA-A59A-6FD7F81DEF10}">
  <ds:schemaRefs>
    <ds:schemaRef ds:uri="http://schemas.microsoft.com/office/2006/metadata/properties"/>
    <ds:schemaRef ds:uri="http://schemas.microsoft.com/office/infopath/2007/PartnerControls"/>
    <ds:schemaRef ds:uri="4752e2a5-c6ef-4e54-9949-77aba9ea4ad0"/>
    <ds:schemaRef ds:uri="4a81be7d-4ecd-49ad-8e88-d07955994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2384</Characters>
  <Application>Microsoft Office Word</Application>
  <DocSecurity>0</DocSecurity>
  <Lines>121</Lines>
  <Paragraphs>59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Zehrah</dc:creator>
  <cp:keywords/>
  <dc:description/>
  <cp:lastModifiedBy>Erica Hoskins</cp:lastModifiedBy>
  <cp:revision>84</cp:revision>
  <cp:lastPrinted>2020-08-25T15:53:00Z</cp:lastPrinted>
  <dcterms:created xsi:type="dcterms:W3CDTF">2024-01-10T21:21:00Z</dcterms:created>
  <dcterms:modified xsi:type="dcterms:W3CDTF">2025-09-29T17:51:00Z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