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6B87" w14:textId="6B40F8AB" w:rsidR="004C55A8" w:rsidRPr="005E6D3E" w:rsidRDefault="62EA45E0" w:rsidP="7F159FBD">
      <w:pPr>
        <w:rPr>
          <w:rFonts w:ascii="Avenir Next LT Pro" w:hAnsi="Avenir Next LT Pro"/>
          <w:sz w:val="24"/>
          <w:szCs w:val="24"/>
        </w:rPr>
      </w:pPr>
      <w:r w:rsidRPr="0ED4EDF1">
        <w:rPr>
          <w:rFonts w:ascii="Avenir Next LT Pro" w:hAnsi="Avenir Next LT Pro"/>
          <w:sz w:val="24"/>
          <w:szCs w:val="24"/>
        </w:rPr>
        <w:t xml:space="preserve">Project-based learning, service-learning, and internships are the three work-based learning types </w:t>
      </w:r>
      <w:r w:rsidR="26B08632" w:rsidRPr="0ED4EDF1">
        <w:rPr>
          <w:rFonts w:ascii="Avenir Next LT Pro" w:hAnsi="Avenir Next LT Pro"/>
          <w:sz w:val="24"/>
          <w:szCs w:val="24"/>
        </w:rPr>
        <w:t>that providers implement as part of their C2L program structure.</w:t>
      </w:r>
      <w:r w:rsidR="00DC041B" w:rsidRPr="0ED4EDF1">
        <w:rPr>
          <w:rFonts w:ascii="Avenir Next LT Pro" w:hAnsi="Avenir Next LT Pro"/>
          <w:sz w:val="24"/>
          <w:szCs w:val="24"/>
        </w:rPr>
        <w:t xml:space="preserve"> Choose one that fits with your organization</w:t>
      </w:r>
      <w:r w:rsidR="00571A42" w:rsidRPr="0ED4EDF1">
        <w:rPr>
          <w:rFonts w:ascii="Avenir Next LT Pro" w:hAnsi="Avenir Next LT Pro"/>
          <w:sz w:val="24"/>
          <w:szCs w:val="24"/>
        </w:rPr>
        <w:t>’</w:t>
      </w:r>
      <w:r w:rsidR="00DC041B" w:rsidRPr="0ED4EDF1">
        <w:rPr>
          <w:rFonts w:ascii="Avenir Next LT Pro" w:hAnsi="Avenir Next LT Pro"/>
          <w:sz w:val="24"/>
          <w:szCs w:val="24"/>
        </w:rPr>
        <w:t>s mission</w:t>
      </w:r>
      <w:r w:rsidR="007D5738" w:rsidRPr="0ED4EDF1">
        <w:rPr>
          <w:rFonts w:ascii="Avenir Next LT Pro" w:hAnsi="Avenir Next LT Pro"/>
          <w:sz w:val="24"/>
          <w:szCs w:val="24"/>
        </w:rPr>
        <w:t xml:space="preserve"> and goals, as well as the </w:t>
      </w:r>
      <w:r w:rsidR="667C89FE" w:rsidRPr="0ED4EDF1">
        <w:rPr>
          <w:rFonts w:ascii="Avenir Next LT Pro" w:hAnsi="Avenir Next LT Pro"/>
          <w:sz w:val="24"/>
          <w:szCs w:val="24"/>
        </w:rPr>
        <w:t xml:space="preserve">age and </w:t>
      </w:r>
      <w:r w:rsidR="007D5738" w:rsidRPr="0ED4EDF1">
        <w:rPr>
          <w:rFonts w:ascii="Avenir Next LT Pro" w:hAnsi="Avenir Next LT Pro"/>
          <w:sz w:val="24"/>
          <w:szCs w:val="24"/>
        </w:rPr>
        <w:t>interests of youth who are part of the program</w:t>
      </w:r>
      <w:r w:rsidR="00B52A9A" w:rsidRPr="0ED4EDF1">
        <w:rPr>
          <w:rFonts w:ascii="Avenir Next LT Pro" w:hAnsi="Avenir Next LT Pro"/>
          <w:sz w:val="24"/>
          <w:szCs w:val="24"/>
        </w:rPr>
        <w:t xml:space="preserve"> to ensure that </w:t>
      </w:r>
      <w:r w:rsidR="5632C096" w:rsidRPr="0ED4EDF1">
        <w:rPr>
          <w:rFonts w:ascii="Avenir Next LT Pro" w:hAnsi="Avenir Next LT Pro"/>
          <w:sz w:val="24"/>
          <w:szCs w:val="24"/>
        </w:rPr>
        <w:t>they</w:t>
      </w:r>
      <w:r w:rsidR="0557C330" w:rsidRPr="0ED4EDF1">
        <w:rPr>
          <w:rFonts w:ascii="Avenir Next LT Pro" w:hAnsi="Avenir Next LT Pro"/>
          <w:sz w:val="24"/>
          <w:szCs w:val="24"/>
        </w:rPr>
        <w:t xml:space="preserve"> </w:t>
      </w:r>
      <w:r w:rsidR="00B52A9A" w:rsidRPr="0ED4EDF1">
        <w:rPr>
          <w:rFonts w:ascii="Avenir Next LT Pro" w:hAnsi="Avenir Next LT Pro"/>
          <w:sz w:val="24"/>
          <w:szCs w:val="24"/>
        </w:rPr>
        <w:t xml:space="preserve">grow and learn from the experience. </w:t>
      </w:r>
      <w:r w:rsidR="00DF2388" w:rsidRPr="0ED4EDF1">
        <w:rPr>
          <w:rFonts w:ascii="Avenir Next LT Pro" w:hAnsi="Avenir Next LT Pro"/>
          <w:sz w:val="24"/>
          <w:szCs w:val="24"/>
        </w:rPr>
        <w:t xml:space="preserve">Providers who serve </w:t>
      </w:r>
      <w:r w:rsidR="005A137C" w:rsidRPr="0ED4EDF1">
        <w:rPr>
          <w:rFonts w:ascii="Avenir Next LT Pro" w:hAnsi="Avenir Next LT Pro"/>
          <w:sz w:val="24"/>
          <w:szCs w:val="24"/>
        </w:rPr>
        <w:t>a range of youth ages and interest</w:t>
      </w:r>
      <w:r w:rsidR="2909237E" w:rsidRPr="0ED4EDF1">
        <w:rPr>
          <w:rFonts w:ascii="Avenir Next LT Pro" w:hAnsi="Avenir Next LT Pro"/>
          <w:sz w:val="24"/>
          <w:szCs w:val="24"/>
        </w:rPr>
        <w:t>s</w:t>
      </w:r>
      <w:r w:rsidR="005A137C" w:rsidRPr="0ED4EDF1">
        <w:rPr>
          <w:rFonts w:ascii="Avenir Next LT Pro" w:hAnsi="Avenir Next LT Pro"/>
          <w:sz w:val="24"/>
          <w:szCs w:val="24"/>
        </w:rPr>
        <w:t xml:space="preserve"> may opt to </w:t>
      </w:r>
      <w:r w:rsidR="2F17B19D" w:rsidRPr="0ED4EDF1">
        <w:rPr>
          <w:rFonts w:ascii="Avenir Next LT Pro" w:hAnsi="Avenir Next LT Pro"/>
          <w:sz w:val="24"/>
          <w:szCs w:val="24"/>
        </w:rPr>
        <w:t xml:space="preserve">implement </w:t>
      </w:r>
      <w:r w:rsidR="005A137C" w:rsidRPr="0ED4EDF1">
        <w:rPr>
          <w:rFonts w:ascii="Avenir Next LT Pro" w:hAnsi="Avenir Next LT Pro"/>
          <w:sz w:val="24"/>
          <w:szCs w:val="24"/>
        </w:rPr>
        <w:t xml:space="preserve">more than one work-based learning type. </w:t>
      </w:r>
      <w:r w:rsidR="26B08632" w:rsidRPr="0ED4EDF1">
        <w:rPr>
          <w:rFonts w:ascii="Avenir Next LT Pro" w:hAnsi="Avenir Next LT Pro"/>
          <w:sz w:val="24"/>
          <w:szCs w:val="24"/>
        </w:rPr>
        <w:t xml:space="preserve">  </w:t>
      </w:r>
    </w:p>
    <w:p w14:paraId="5D41E158" w14:textId="52AC4C74" w:rsidR="688363ED" w:rsidRDefault="688363ED" w:rsidP="688363ED">
      <w:pPr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3537"/>
        <w:gridCol w:w="4031"/>
        <w:gridCol w:w="4030"/>
      </w:tblGrid>
      <w:tr w:rsidR="00E5600C" w14:paraId="29437C09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773B5543" w14:textId="557F3230" w:rsidR="00E5600C" w:rsidRPr="00C81805" w:rsidRDefault="00E5600C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Work-</w:t>
            </w:r>
            <w:r w:rsidR="0028274A">
              <w:rPr>
                <w:rFonts w:ascii="Avenir Next LT Pro" w:hAnsi="Avenir Next LT Pro"/>
                <w:b/>
                <w:bCs/>
                <w:sz w:val="20"/>
                <w:szCs w:val="20"/>
              </w:rPr>
              <w:t>B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ased Learning</w:t>
            </w:r>
          </w:p>
        </w:tc>
        <w:tc>
          <w:tcPr>
            <w:tcW w:w="3537" w:type="dxa"/>
          </w:tcPr>
          <w:p w14:paraId="3A42E1F4" w14:textId="49FF29F1" w:rsidR="00E5600C" w:rsidRPr="002F22A9" w:rsidRDefault="00E5600C" w:rsidP="009F3862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Project-</w:t>
            </w:r>
            <w:r w:rsidR="00B4116D">
              <w:rPr>
                <w:rFonts w:ascii="Avenir Next LT Pro" w:hAnsi="Avenir Next LT Pro"/>
                <w:b/>
                <w:bCs/>
              </w:rPr>
              <w:t>B</w:t>
            </w:r>
            <w:r>
              <w:rPr>
                <w:rFonts w:ascii="Avenir Next LT Pro" w:hAnsi="Avenir Next LT Pro"/>
                <w:b/>
                <w:bCs/>
              </w:rPr>
              <w:t>ased Learning</w:t>
            </w:r>
            <w:r w:rsidR="00C258DC">
              <w:rPr>
                <w:rFonts w:ascii="Avenir Next LT Pro" w:hAnsi="Avenir Next LT Pro"/>
                <w:b/>
                <w:bCs/>
              </w:rPr>
              <w:t xml:space="preserve"> (PBL)</w:t>
            </w:r>
          </w:p>
        </w:tc>
        <w:tc>
          <w:tcPr>
            <w:tcW w:w="4031" w:type="dxa"/>
          </w:tcPr>
          <w:p w14:paraId="32E315CC" w14:textId="70E0CE75" w:rsidR="00E5600C" w:rsidRPr="002F22A9" w:rsidRDefault="00E5600C" w:rsidP="009F3862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Service</w:t>
            </w:r>
            <w:r w:rsidR="00BD35CB">
              <w:rPr>
                <w:rFonts w:ascii="Avenir Next LT Pro" w:hAnsi="Avenir Next LT Pro"/>
                <w:b/>
                <w:bCs/>
              </w:rPr>
              <w:t>-</w:t>
            </w:r>
            <w:r>
              <w:rPr>
                <w:rFonts w:ascii="Avenir Next LT Pro" w:hAnsi="Avenir Next LT Pro"/>
                <w:b/>
                <w:bCs/>
              </w:rPr>
              <w:t>Learning</w:t>
            </w:r>
          </w:p>
        </w:tc>
        <w:tc>
          <w:tcPr>
            <w:tcW w:w="4030" w:type="dxa"/>
          </w:tcPr>
          <w:p w14:paraId="4CC809E0" w14:textId="3FCE570F" w:rsidR="00E5600C" w:rsidRPr="002F22A9" w:rsidRDefault="00E5600C" w:rsidP="009F3862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Internships</w:t>
            </w:r>
          </w:p>
        </w:tc>
      </w:tr>
      <w:tr w:rsidR="00E5600C" w14:paraId="043B2A5D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12AED839" w14:textId="3FD7F6F1" w:rsidR="00E5600C" w:rsidRDefault="00E5600C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Overview</w:t>
            </w:r>
          </w:p>
        </w:tc>
        <w:tc>
          <w:tcPr>
            <w:tcW w:w="3537" w:type="dxa"/>
          </w:tcPr>
          <w:p w14:paraId="58A9CF22" w14:textId="58EAFB75" w:rsidR="00E5600C" w:rsidRPr="002F22A9" w:rsidRDefault="0059472A" w:rsidP="008322D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Teaching method in which students learn by actively engaging in real-world and personally meaningful projects. </w:t>
            </w:r>
          </w:p>
        </w:tc>
        <w:tc>
          <w:tcPr>
            <w:tcW w:w="4031" w:type="dxa"/>
          </w:tcPr>
          <w:p w14:paraId="057C2FAF" w14:textId="1826053C" w:rsidR="00E5600C" w:rsidRPr="002F22A9" w:rsidRDefault="005A7B37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Teaching and learning strategy that connects academic curriculum to community problem-solving. </w:t>
            </w:r>
            <w:r w:rsidR="002560A1">
              <w:rPr>
                <w:rFonts w:ascii="Avenir Next LT Pro" w:hAnsi="Avenir Next LT Pro"/>
              </w:rPr>
              <w:t xml:space="preserve">Youth engage in meaningful service projects that will develop empathy, social responsibility and teamwork skills. </w:t>
            </w:r>
          </w:p>
        </w:tc>
        <w:tc>
          <w:tcPr>
            <w:tcW w:w="4030" w:type="dxa"/>
          </w:tcPr>
          <w:p w14:paraId="083E085F" w14:textId="330EE352" w:rsidR="00E5600C" w:rsidRPr="002F22A9" w:rsidRDefault="5D399C04" w:rsidP="7F159FBD">
            <w:pPr>
              <w:rPr>
                <w:rFonts w:ascii="Avenir Next LT Pro" w:hAnsi="Avenir Next LT Pro"/>
              </w:rPr>
            </w:pPr>
            <w:r w:rsidRPr="688363ED">
              <w:rPr>
                <w:rFonts w:ascii="Avenir Next LT Pro" w:hAnsi="Avenir Next LT Pro"/>
              </w:rPr>
              <w:t>Short-term opportunit</w:t>
            </w:r>
            <w:r w:rsidR="009553DF">
              <w:rPr>
                <w:rFonts w:ascii="Avenir Next LT Pro" w:hAnsi="Avenir Next LT Pro"/>
              </w:rPr>
              <w:t>ies</w:t>
            </w:r>
            <w:r w:rsidRPr="688363ED">
              <w:rPr>
                <w:rFonts w:ascii="Avenir Next LT Pro" w:hAnsi="Avenir Next LT Pro"/>
              </w:rPr>
              <w:t xml:space="preserve"> </w:t>
            </w:r>
            <w:r w:rsidR="689B38BF" w:rsidRPr="688363ED">
              <w:rPr>
                <w:rFonts w:ascii="Avenir Next LT Pro" w:hAnsi="Avenir Next LT Pro"/>
              </w:rPr>
              <w:t>where youth gain entry-level work experience in a particular industry or field</w:t>
            </w:r>
            <w:r w:rsidR="00FD0B43">
              <w:rPr>
                <w:rFonts w:ascii="Avenir Next LT Pro" w:hAnsi="Avenir Next LT Pro"/>
              </w:rPr>
              <w:t>,</w:t>
            </w:r>
            <w:r w:rsidR="689B38BF" w:rsidRPr="688363ED">
              <w:rPr>
                <w:rFonts w:ascii="Avenir Next LT Pro" w:hAnsi="Avenir Next LT Pro"/>
              </w:rPr>
              <w:t xml:space="preserve"> earning </w:t>
            </w:r>
            <w:r w:rsidR="4ACFC0AB" w:rsidRPr="688363ED">
              <w:rPr>
                <w:rFonts w:ascii="Avenir Next LT Pro" w:hAnsi="Avenir Next LT Pro"/>
              </w:rPr>
              <w:t>them pay or school credit</w:t>
            </w:r>
            <w:r w:rsidR="603B5FF3" w:rsidRPr="688363ED">
              <w:rPr>
                <w:rFonts w:ascii="Avenir Next LT Pro" w:hAnsi="Avenir Next LT Pro"/>
              </w:rPr>
              <w:t xml:space="preserve"> through hands-on experience</w:t>
            </w:r>
            <w:r w:rsidR="4ACFC0AB" w:rsidRPr="688363ED">
              <w:rPr>
                <w:rFonts w:ascii="Avenir Next LT Pro" w:hAnsi="Avenir Next LT Pro"/>
              </w:rPr>
              <w:t xml:space="preserve">. </w:t>
            </w:r>
          </w:p>
        </w:tc>
      </w:tr>
      <w:tr w:rsidR="0022402F" w14:paraId="65AAB162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756F800F" w14:textId="2B762839" w:rsidR="0022402F" w:rsidRDefault="00543B7A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Advantages</w:t>
            </w:r>
          </w:p>
        </w:tc>
        <w:tc>
          <w:tcPr>
            <w:tcW w:w="3537" w:type="dxa"/>
          </w:tcPr>
          <w:p w14:paraId="5190BE14" w14:textId="1413C6E1" w:rsidR="0022402F" w:rsidRPr="00EE28D9" w:rsidRDefault="00B0770B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Helps build 21</w:t>
            </w:r>
            <w:r w:rsidRPr="00B0770B">
              <w:rPr>
                <w:rFonts w:ascii="Avenir Next LT Pro" w:hAnsi="Avenir Next LT Pro"/>
                <w:vertAlign w:val="superscript"/>
              </w:rPr>
              <w:t>st</w:t>
            </w:r>
            <w:r>
              <w:rPr>
                <w:rFonts w:ascii="Avenir Next LT Pro" w:hAnsi="Avenir Next LT Pro"/>
              </w:rPr>
              <w:t xml:space="preserve"> century skills like critical thinking, creativity, collaboration, and communication</w:t>
            </w:r>
            <w:r w:rsidR="00EB204C">
              <w:rPr>
                <w:rFonts w:ascii="Avenir Next LT Pro" w:hAnsi="Avenir Next LT Pro"/>
              </w:rPr>
              <w:t xml:space="preserve"> in </w:t>
            </w:r>
            <w:r w:rsidR="00E7024F">
              <w:rPr>
                <w:rFonts w:ascii="Avenir Next LT Pro" w:hAnsi="Avenir Next LT Pro"/>
              </w:rPr>
              <w:t>areas like literacy, STEAM, health and wellness, and social studies.</w:t>
            </w:r>
            <w:r w:rsidR="00E65B6C">
              <w:rPr>
                <w:rFonts w:ascii="Avenir Next LT Pro" w:hAnsi="Avenir Next LT Pro"/>
              </w:rPr>
              <w:t xml:space="preserve"> Youth are also able to </w:t>
            </w:r>
            <w:r w:rsidR="00C4744D">
              <w:rPr>
                <w:rFonts w:ascii="Avenir Next LT Pro" w:hAnsi="Avenir Next LT Pro"/>
              </w:rPr>
              <w:t>practice</w:t>
            </w:r>
            <w:r w:rsidR="00E65B6C">
              <w:rPr>
                <w:rFonts w:ascii="Avenir Next LT Pro" w:hAnsi="Avenir Next LT Pro"/>
              </w:rPr>
              <w:t xml:space="preserve"> social emotional</w:t>
            </w:r>
            <w:r w:rsidR="00E7024F">
              <w:rPr>
                <w:rFonts w:ascii="Avenir Next LT Pro" w:hAnsi="Avenir Next LT Pro"/>
              </w:rPr>
              <w:t xml:space="preserve"> </w:t>
            </w:r>
            <w:r w:rsidR="00C4744D">
              <w:rPr>
                <w:rFonts w:ascii="Avenir Next LT Pro" w:hAnsi="Avenir Next LT Pro"/>
              </w:rPr>
              <w:t>skills like self-awareness, self-management, responsible</w:t>
            </w:r>
            <w:r w:rsidR="00A66A44">
              <w:rPr>
                <w:rFonts w:ascii="Avenir Next LT Pro" w:hAnsi="Avenir Next LT Pro"/>
              </w:rPr>
              <w:t xml:space="preserve"> decision-making, and social awareness.</w:t>
            </w:r>
          </w:p>
        </w:tc>
        <w:tc>
          <w:tcPr>
            <w:tcW w:w="4031" w:type="dxa"/>
          </w:tcPr>
          <w:p w14:paraId="38D8DE35" w14:textId="56DA1B6B" w:rsidR="0022402F" w:rsidRPr="0022402F" w:rsidRDefault="00386C4A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Engages youth and </w:t>
            </w:r>
            <w:proofErr w:type="gramStart"/>
            <w:r>
              <w:rPr>
                <w:rFonts w:ascii="Avenir Next LT Pro" w:hAnsi="Avenir Next LT Pro"/>
              </w:rPr>
              <w:t>helps</w:t>
            </w:r>
            <w:proofErr w:type="gramEnd"/>
            <w:r>
              <w:rPr>
                <w:rFonts w:ascii="Avenir Next LT Pro" w:hAnsi="Avenir Next LT Pro"/>
              </w:rPr>
              <w:t xml:space="preserve"> raise awareness of current issues</w:t>
            </w:r>
            <w:r w:rsidR="00C9230E">
              <w:rPr>
                <w:rFonts w:ascii="Avenir Next LT Pro" w:hAnsi="Avenir Next LT Pro"/>
              </w:rPr>
              <w:t xml:space="preserve"> by helping them understand </w:t>
            </w:r>
            <w:r w:rsidR="00141BDC">
              <w:rPr>
                <w:rFonts w:ascii="Avenir Next LT Pro" w:hAnsi="Avenir Next LT Pro"/>
              </w:rPr>
              <w:t xml:space="preserve">that </w:t>
            </w:r>
            <w:r w:rsidR="00C9230E">
              <w:rPr>
                <w:rFonts w:ascii="Avenir Next LT Pro" w:hAnsi="Avenir Next LT Pro"/>
              </w:rPr>
              <w:t>what they do in their community can have impacts elsewhere</w:t>
            </w:r>
            <w:r w:rsidR="00DE33A5">
              <w:rPr>
                <w:rFonts w:ascii="Avenir Next LT Pro" w:hAnsi="Avenir Next LT Pro"/>
              </w:rPr>
              <w:t xml:space="preserve">. Youth feel empowered to </w:t>
            </w:r>
            <w:r w:rsidR="0088217B">
              <w:rPr>
                <w:rFonts w:ascii="Avenir Next LT Pro" w:hAnsi="Avenir Next LT Pro"/>
              </w:rPr>
              <w:t>make change</w:t>
            </w:r>
            <w:r w:rsidR="00335A41">
              <w:rPr>
                <w:rFonts w:ascii="Avenir Next LT Pro" w:hAnsi="Avenir Next LT Pro"/>
              </w:rPr>
              <w:t xml:space="preserve">s and see how what they do impacts their community. Connects </w:t>
            </w:r>
            <w:r w:rsidR="00101788">
              <w:rPr>
                <w:rFonts w:ascii="Avenir Next LT Pro" w:hAnsi="Avenir Next LT Pro"/>
              </w:rPr>
              <w:t>academics in a practical way by providing real-world experiences.</w:t>
            </w:r>
          </w:p>
        </w:tc>
        <w:tc>
          <w:tcPr>
            <w:tcW w:w="4030" w:type="dxa"/>
          </w:tcPr>
          <w:p w14:paraId="72D16208" w14:textId="742E04E1" w:rsidR="0022402F" w:rsidRPr="00D1115C" w:rsidRDefault="00CA1BE4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Youth participants </w:t>
            </w:r>
            <w:r w:rsidR="00F22B2C">
              <w:rPr>
                <w:rFonts w:ascii="Avenir Next LT Pro" w:hAnsi="Avenir Next LT Pro"/>
              </w:rPr>
              <w:t>gain work experience through hands-on activities allowing them to develop skills they may need in that profession. They learn and build skills like communication, professionalism</w:t>
            </w:r>
            <w:r w:rsidR="00923787">
              <w:rPr>
                <w:rFonts w:ascii="Avenir Next LT Pro" w:hAnsi="Avenir Next LT Pro"/>
              </w:rPr>
              <w:t xml:space="preserve">, and working in a team. </w:t>
            </w:r>
            <w:r w:rsidR="0027005E">
              <w:rPr>
                <w:rFonts w:ascii="Avenir Next LT Pro" w:hAnsi="Avenir Next LT Pro"/>
              </w:rPr>
              <w:t xml:space="preserve">Youth gain social and emotional growth </w:t>
            </w:r>
            <w:r w:rsidR="0046616E">
              <w:rPr>
                <w:rFonts w:ascii="Avenir Next LT Pro" w:hAnsi="Avenir Next LT Pro"/>
              </w:rPr>
              <w:t xml:space="preserve">by building adaptability and resiliency skills through navigating </w:t>
            </w:r>
            <w:r w:rsidR="00D73978">
              <w:rPr>
                <w:rFonts w:ascii="Avenir Next LT Pro" w:hAnsi="Avenir Next LT Pro"/>
              </w:rPr>
              <w:t>new work environments, work dynamics, and challenges.</w:t>
            </w:r>
          </w:p>
        </w:tc>
      </w:tr>
      <w:tr w:rsidR="0079163C" w14:paraId="41F8971F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2E9B1BB5" w14:textId="2282BCBA" w:rsidR="0079163C" w:rsidRDefault="0079163C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>Recommended Age-Range</w:t>
            </w:r>
          </w:p>
        </w:tc>
        <w:tc>
          <w:tcPr>
            <w:tcW w:w="3537" w:type="dxa"/>
          </w:tcPr>
          <w:p w14:paraId="0F82B710" w14:textId="547BAD72" w:rsidR="0079163C" w:rsidRDefault="0079163C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Best for </w:t>
            </w:r>
            <w:r w:rsidR="0051445E">
              <w:rPr>
                <w:rFonts w:ascii="Avenir Next LT Pro" w:hAnsi="Avenir Next LT Pro"/>
              </w:rPr>
              <w:t>ages</w:t>
            </w:r>
            <w:r>
              <w:rPr>
                <w:rFonts w:ascii="Avenir Next LT Pro" w:hAnsi="Avenir Next LT Pro"/>
              </w:rPr>
              <w:t xml:space="preserve"> 12 - </w:t>
            </w:r>
            <w:r w:rsidR="0051445E">
              <w:rPr>
                <w:rFonts w:ascii="Avenir Next LT Pro" w:hAnsi="Avenir Next LT Pro"/>
              </w:rPr>
              <w:t>14</w:t>
            </w:r>
          </w:p>
        </w:tc>
        <w:tc>
          <w:tcPr>
            <w:tcW w:w="4031" w:type="dxa"/>
          </w:tcPr>
          <w:p w14:paraId="24B59F28" w14:textId="7ED43D7F" w:rsidR="0079163C" w:rsidRDefault="0051445E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Best for ages </w:t>
            </w:r>
            <w:r w:rsidR="00DC041B">
              <w:rPr>
                <w:rFonts w:ascii="Avenir Next LT Pro" w:hAnsi="Avenir Next LT Pro"/>
              </w:rPr>
              <w:t>14 - 18</w:t>
            </w:r>
          </w:p>
        </w:tc>
        <w:tc>
          <w:tcPr>
            <w:tcW w:w="4030" w:type="dxa"/>
          </w:tcPr>
          <w:p w14:paraId="66A779CD" w14:textId="67D43E62" w:rsidR="0079163C" w:rsidRDefault="0051445E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Best for ages 16 - 24</w:t>
            </w:r>
          </w:p>
        </w:tc>
      </w:tr>
      <w:tr w:rsidR="00891A31" w:rsidRPr="006E001A" w14:paraId="78BFAE9F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5C6A565A" w14:textId="5A2A4161" w:rsidR="00891A31" w:rsidRDefault="00EB1BF4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Application </w:t>
            </w:r>
          </w:p>
        </w:tc>
        <w:tc>
          <w:tcPr>
            <w:tcW w:w="3537" w:type="dxa"/>
          </w:tcPr>
          <w:p w14:paraId="767F9C19" w14:textId="331A51A0" w:rsidR="00891A31" w:rsidRPr="006E001A" w:rsidRDefault="00EA1351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PBL starts with a </w:t>
            </w:r>
            <w:r w:rsidR="00691B9C">
              <w:rPr>
                <w:rFonts w:ascii="Avenir Next LT Pro" w:hAnsi="Avenir Next LT Pro"/>
              </w:rPr>
              <w:t>d</w:t>
            </w:r>
            <w:r w:rsidR="00891A31" w:rsidRPr="006E001A">
              <w:rPr>
                <w:rFonts w:ascii="Avenir Next LT Pro" w:hAnsi="Avenir Next LT Pro"/>
              </w:rPr>
              <w:t xml:space="preserve">riving </w:t>
            </w:r>
            <w:r w:rsidR="00691B9C">
              <w:rPr>
                <w:rFonts w:ascii="Avenir Next LT Pro" w:hAnsi="Avenir Next LT Pro"/>
              </w:rPr>
              <w:t>q</w:t>
            </w:r>
            <w:r w:rsidR="00891A31" w:rsidRPr="006E001A">
              <w:rPr>
                <w:rFonts w:ascii="Avenir Next LT Pro" w:hAnsi="Avenir Next LT Pro"/>
              </w:rPr>
              <w:t>uestion</w:t>
            </w:r>
            <w:r w:rsidR="0033066E">
              <w:rPr>
                <w:rFonts w:ascii="Avenir Next LT Pro" w:hAnsi="Avenir Next LT Pro"/>
              </w:rPr>
              <w:t xml:space="preserve"> which is designed to get </w:t>
            </w:r>
            <w:proofErr w:type="gramStart"/>
            <w:r w:rsidR="0033066E">
              <w:rPr>
                <w:rFonts w:ascii="Avenir Next LT Pro" w:hAnsi="Avenir Next LT Pro"/>
              </w:rPr>
              <w:t>youth</w:t>
            </w:r>
            <w:proofErr w:type="gramEnd"/>
            <w:r w:rsidR="0033066E">
              <w:rPr>
                <w:rFonts w:ascii="Avenir Next LT Pro" w:hAnsi="Avenir Next LT Pro"/>
              </w:rPr>
              <w:t xml:space="preserve"> to answer an open-ended question </w:t>
            </w:r>
            <w:r w:rsidR="00CA4E6B">
              <w:rPr>
                <w:rFonts w:ascii="Avenir Next LT Pro" w:hAnsi="Avenir Next LT Pro"/>
              </w:rPr>
              <w:t xml:space="preserve">by solving a problem. It is the driving force for the project and is designed to engage youth in their learning experience. </w:t>
            </w:r>
            <w:r w:rsidR="006E001A" w:rsidRPr="006E001A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4031" w:type="dxa"/>
          </w:tcPr>
          <w:p w14:paraId="48D04E73" w14:textId="6A5ECDEB" w:rsidR="00891A31" w:rsidRDefault="00CA4E6B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There are different t</w:t>
            </w:r>
            <w:r w:rsidR="00BD35CB">
              <w:rPr>
                <w:rFonts w:ascii="Avenir Next LT Pro" w:hAnsi="Avenir Next LT Pro"/>
              </w:rPr>
              <w:t xml:space="preserve">ypes of </w:t>
            </w:r>
            <w:r>
              <w:rPr>
                <w:rFonts w:ascii="Avenir Next LT Pro" w:hAnsi="Avenir Next LT Pro"/>
              </w:rPr>
              <w:t>s</w:t>
            </w:r>
            <w:r w:rsidR="00BD35CB">
              <w:rPr>
                <w:rFonts w:ascii="Avenir Next LT Pro" w:hAnsi="Avenir Next LT Pro"/>
              </w:rPr>
              <w:t>ervice-</w:t>
            </w:r>
            <w:r>
              <w:rPr>
                <w:rFonts w:ascii="Avenir Next LT Pro" w:hAnsi="Avenir Next LT Pro"/>
              </w:rPr>
              <w:t>l</w:t>
            </w:r>
            <w:r w:rsidR="00BD35CB">
              <w:rPr>
                <w:rFonts w:ascii="Avenir Next LT Pro" w:hAnsi="Avenir Next LT Pro"/>
              </w:rPr>
              <w:t>earning</w:t>
            </w:r>
          </w:p>
          <w:p w14:paraId="41388C69" w14:textId="77777777" w:rsidR="00BD35CB" w:rsidRDefault="00BD35CB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Direct</w:t>
            </w:r>
            <w:r w:rsidR="00F7261E">
              <w:rPr>
                <w:rFonts w:ascii="Avenir Next LT Pro" w:hAnsi="Avenir Next LT Pro"/>
              </w:rPr>
              <w:t xml:space="preserve"> – person-to-person</w:t>
            </w:r>
          </w:p>
          <w:p w14:paraId="07E05D31" w14:textId="77777777" w:rsidR="00F7261E" w:rsidRDefault="00F7261E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Indirect – broad and impacts the overall community</w:t>
            </w:r>
          </w:p>
          <w:p w14:paraId="2353C6EA" w14:textId="77777777" w:rsidR="00F7261E" w:rsidRDefault="00F7261E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Research-based – participants find and gather information to report on</w:t>
            </w:r>
          </w:p>
          <w:p w14:paraId="18947062" w14:textId="3BF6CF17" w:rsidR="00F7261E" w:rsidRPr="006E001A" w:rsidRDefault="00F7261E" w:rsidP="0022402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Advocacy </w:t>
            </w:r>
            <w:r w:rsidR="00E55232">
              <w:rPr>
                <w:rFonts w:ascii="Avenir Next LT Pro" w:hAnsi="Avenir Next LT Pro"/>
              </w:rPr>
              <w:t>–</w:t>
            </w:r>
            <w:r>
              <w:rPr>
                <w:rFonts w:ascii="Avenir Next LT Pro" w:hAnsi="Avenir Next LT Pro"/>
              </w:rPr>
              <w:t xml:space="preserve"> </w:t>
            </w:r>
            <w:r w:rsidR="00E55232">
              <w:rPr>
                <w:rFonts w:ascii="Avenir Next LT Pro" w:hAnsi="Avenir Next LT Pro"/>
              </w:rPr>
              <w:t>creates awareness about issues going on that can impact the community</w:t>
            </w:r>
          </w:p>
        </w:tc>
        <w:tc>
          <w:tcPr>
            <w:tcW w:w="4030" w:type="dxa"/>
          </w:tcPr>
          <w:p w14:paraId="410A51D2" w14:textId="6BBF37BF" w:rsidR="0027071E" w:rsidRDefault="00F03DE7" w:rsidP="7F159FB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Phases of c</w:t>
            </w:r>
            <w:r w:rsidR="0027071E">
              <w:rPr>
                <w:rFonts w:ascii="Avenir Next LT Pro" w:hAnsi="Avenir Next LT Pro"/>
              </w:rPr>
              <w:t xml:space="preserve">onnecting </w:t>
            </w:r>
            <w:r>
              <w:rPr>
                <w:rFonts w:ascii="Avenir Next LT Pro" w:hAnsi="Avenir Next LT Pro"/>
              </w:rPr>
              <w:t>y</w:t>
            </w:r>
            <w:r w:rsidR="0027071E">
              <w:rPr>
                <w:rFonts w:ascii="Avenir Next LT Pro" w:hAnsi="Avenir Next LT Pro"/>
              </w:rPr>
              <w:t xml:space="preserve">outh to </w:t>
            </w:r>
            <w:r>
              <w:rPr>
                <w:rFonts w:ascii="Avenir Next LT Pro" w:hAnsi="Avenir Next LT Pro"/>
              </w:rPr>
              <w:t>i</w:t>
            </w:r>
            <w:r w:rsidR="0027071E">
              <w:rPr>
                <w:rFonts w:ascii="Avenir Next LT Pro" w:hAnsi="Avenir Next LT Pro"/>
              </w:rPr>
              <w:t>nternships:</w:t>
            </w:r>
          </w:p>
          <w:p w14:paraId="2CC88783" w14:textId="21CA9499" w:rsidR="00891A31" w:rsidRPr="0027071E" w:rsidRDefault="00FF0656" w:rsidP="0027071E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27071E">
              <w:rPr>
                <w:rFonts w:ascii="Avenir Next LT Pro" w:hAnsi="Avenir Next LT Pro"/>
              </w:rPr>
              <w:t xml:space="preserve">Preparation and </w:t>
            </w:r>
            <w:r w:rsidR="00F03DE7">
              <w:rPr>
                <w:rFonts w:ascii="Avenir Next LT Pro" w:hAnsi="Avenir Next LT Pro"/>
              </w:rPr>
              <w:t>a</w:t>
            </w:r>
            <w:r w:rsidRPr="0027071E">
              <w:rPr>
                <w:rFonts w:ascii="Avenir Next LT Pro" w:hAnsi="Avenir Next LT Pro"/>
              </w:rPr>
              <w:t>ssessment</w:t>
            </w:r>
          </w:p>
          <w:p w14:paraId="19DAC3A8" w14:textId="73B36EF2" w:rsidR="00FF0656" w:rsidRPr="0027071E" w:rsidRDefault="00FF0656" w:rsidP="0027071E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27071E">
              <w:rPr>
                <w:rFonts w:ascii="Avenir Next LT Pro" w:hAnsi="Avenir Next LT Pro"/>
              </w:rPr>
              <w:t xml:space="preserve">Partnership and </w:t>
            </w:r>
            <w:r w:rsidR="00F03DE7">
              <w:rPr>
                <w:rFonts w:ascii="Avenir Next LT Pro" w:hAnsi="Avenir Next LT Pro"/>
              </w:rPr>
              <w:t>o</w:t>
            </w:r>
            <w:r w:rsidRPr="0027071E">
              <w:rPr>
                <w:rFonts w:ascii="Avenir Next LT Pro" w:hAnsi="Avenir Next LT Pro"/>
              </w:rPr>
              <w:t>utreach</w:t>
            </w:r>
          </w:p>
          <w:p w14:paraId="3E653754" w14:textId="45B4310D" w:rsidR="00FF0656" w:rsidRPr="0027071E" w:rsidRDefault="00FF0656" w:rsidP="0027071E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27071E">
              <w:rPr>
                <w:rFonts w:ascii="Avenir Next LT Pro" w:hAnsi="Avenir Next LT Pro"/>
              </w:rPr>
              <w:t xml:space="preserve">Application and </w:t>
            </w:r>
            <w:r w:rsidR="00F03DE7">
              <w:rPr>
                <w:rFonts w:ascii="Avenir Next LT Pro" w:hAnsi="Avenir Next LT Pro"/>
              </w:rPr>
              <w:t>p</w:t>
            </w:r>
            <w:r w:rsidRPr="0027071E">
              <w:rPr>
                <w:rFonts w:ascii="Avenir Next LT Pro" w:hAnsi="Avenir Next LT Pro"/>
              </w:rPr>
              <w:t>lacement</w:t>
            </w:r>
          </w:p>
          <w:p w14:paraId="260579ED" w14:textId="725E0766" w:rsidR="00FF0656" w:rsidRPr="0027071E" w:rsidRDefault="00FF0656" w:rsidP="0027071E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27071E">
              <w:rPr>
                <w:rFonts w:ascii="Avenir Next LT Pro" w:hAnsi="Avenir Next LT Pro"/>
              </w:rPr>
              <w:t xml:space="preserve">Internship </w:t>
            </w:r>
            <w:r w:rsidR="00F03DE7">
              <w:rPr>
                <w:rFonts w:ascii="Avenir Next LT Pro" w:hAnsi="Avenir Next LT Pro"/>
              </w:rPr>
              <w:t>s</w:t>
            </w:r>
            <w:r w:rsidRPr="0027071E">
              <w:rPr>
                <w:rFonts w:ascii="Avenir Next LT Pro" w:hAnsi="Avenir Next LT Pro"/>
              </w:rPr>
              <w:t xml:space="preserve">upport and </w:t>
            </w:r>
            <w:r w:rsidR="00F03DE7">
              <w:rPr>
                <w:rFonts w:ascii="Avenir Next LT Pro" w:hAnsi="Avenir Next LT Pro"/>
              </w:rPr>
              <w:t>m</w:t>
            </w:r>
            <w:r w:rsidRPr="0027071E">
              <w:rPr>
                <w:rFonts w:ascii="Avenir Next LT Pro" w:hAnsi="Avenir Next LT Pro"/>
              </w:rPr>
              <w:t>onitoring</w:t>
            </w:r>
          </w:p>
          <w:p w14:paraId="11A8187A" w14:textId="1C4EB96F" w:rsidR="00FF0656" w:rsidRPr="0027071E" w:rsidRDefault="00FF0656" w:rsidP="0027071E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27071E">
              <w:rPr>
                <w:rFonts w:ascii="Avenir Next LT Pro" w:hAnsi="Avenir Next LT Pro"/>
              </w:rPr>
              <w:t xml:space="preserve">Evaluation and </w:t>
            </w:r>
            <w:r w:rsidR="00F03DE7">
              <w:rPr>
                <w:rFonts w:ascii="Avenir Next LT Pro" w:hAnsi="Avenir Next LT Pro"/>
              </w:rPr>
              <w:t>f</w:t>
            </w:r>
            <w:r w:rsidRPr="0027071E">
              <w:rPr>
                <w:rFonts w:ascii="Avenir Next LT Pro" w:hAnsi="Avenir Next LT Pro"/>
              </w:rPr>
              <w:t>ollow-up</w:t>
            </w:r>
          </w:p>
        </w:tc>
      </w:tr>
      <w:tr w:rsidR="00E5600C" w14:paraId="16D503BC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64054576" w14:textId="7927B452" w:rsidR="00E5600C" w:rsidRPr="00C81805" w:rsidRDefault="00D76EF9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Example</w:t>
            </w:r>
            <w:r w:rsidR="009F3862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3537" w:type="dxa"/>
          </w:tcPr>
          <w:p w14:paraId="3743F4B9" w14:textId="77777777" w:rsidR="00E5600C" w:rsidRDefault="00E70AE0" w:rsidP="003045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Creating a mobile app to </w:t>
            </w:r>
            <w:r w:rsidR="00C6144D">
              <w:rPr>
                <w:rFonts w:ascii="Avenir Next LT Pro" w:hAnsi="Avenir Next LT Pro"/>
              </w:rPr>
              <w:t>address a concern in the community</w:t>
            </w:r>
          </w:p>
          <w:p w14:paraId="28D6AD1D" w14:textId="77777777" w:rsidR="00C6144D" w:rsidRDefault="00297732" w:rsidP="003045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Developing a business plan to start a business</w:t>
            </w:r>
          </w:p>
          <w:p w14:paraId="3946B581" w14:textId="57D65E1F" w:rsidR="00297732" w:rsidRPr="003045A1" w:rsidRDefault="001E307D" w:rsidP="003045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Run a r</w:t>
            </w:r>
            <w:r w:rsidR="00297732">
              <w:rPr>
                <w:rFonts w:ascii="Avenir Next LT Pro" w:hAnsi="Avenir Next LT Pro"/>
              </w:rPr>
              <w:t xml:space="preserve">ecycling and sustainability </w:t>
            </w:r>
            <w:r>
              <w:rPr>
                <w:rFonts w:ascii="Avenir Next LT Pro" w:hAnsi="Avenir Next LT Pro"/>
              </w:rPr>
              <w:t>program for the neighborhood</w:t>
            </w:r>
          </w:p>
        </w:tc>
        <w:tc>
          <w:tcPr>
            <w:tcW w:w="4031" w:type="dxa"/>
          </w:tcPr>
          <w:p w14:paraId="3143AECC" w14:textId="77777777" w:rsidR="00E5600C" w:rsidRDefault="0059472A" w:rsidP="002560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Organize and participate in community cleanup project</w:t>
            </w:r>
          </w:p>
          <w:p w14:paraId="4C90FBC2" w14:textId="77777777" w:rsidR="006A7E44" w:rsidRDefault="00DB2B59" w:rsidP="002560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Tutoring at an afterschool program</w:t>
            </w:r>
          </w:p>
          <w:p w14:paraId="70208941" w14:textId="77777777" w:rsidR="00DB2B59" w:rsidRDefault="00F93785" w:rsidP="002560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Restore a historic building</w:t>
            </w:r>
          </w:p>
          <w:p w14:paraId="68ADF672" w14:textId="0CCE1EEF" w:rsidR="00F93785" w:rsidRPr="002560A1" w:rsidRDefault="00A1359B" w:rsidP="002560A1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Creating a guide in multiple languages on services offered in the community</w:t>
            </w:r>
          </w:p>
        </w:tc>
        <w:tc>
          <w:tcPr>
            <w:tcW w:w="4030" w:type="dxa"/>
          </w:tcPr>
          <w:p w14:paraId="099318B9" w14:textId="77777777" w:rsidR="00E5600C" w:rsidRDefault="00BE377D" w:rsidP="00FF0656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Youth serving </w:t>
            </w:r>
            <w:r w:rsidR="003045A1">
              <w:rPr>
                <w:rFonts w:ascii="Avenir Next LT Pro" w:hAnsi="Avenir Next LT Pro"/>
              </w:rPr>
              <w:t>as a camp counselor</w:t>
            </w:r>
          </w:p>
          <w:p w14:paraId="39BFFC83" w14:textId="77777777" w:rsidR="003045A1" w:rsidRDefault="00311F68" w:rsidP="00FF0656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Youth </w:t>
            </w:r>
            <w:r w:rsidR="005E6A29">
              <w:rPr>
                <w:rFonts w:ascii="Avenir Next LT Pro" w:hAnsi="Avenir Next LT Pro"/>
              </w:rPr>
              <w:t>working at an animal shelter</w:t>
            </w:r>
          </w:p>
          <w:p w14:paraId="74D4526C" w14:textId="080640C0" w:rsidR="00CE6AF9" w:rsidRPr="00FF0656" w:rsidRDefault="00CE6AF9" w:rsidP="00FF0656">
            <w:pPr>
              <w:pStyle w:val="ListParagraph"/>
              <w:numPr>
                <w:ilvl w:val="0"/>
                <w:numId w:val="5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Youth shadowing at a law firm</w:t>
            </w:r>
          </w:p>
        </w:tc>
      </w:tr>
      <w:tr w:rsidR="00E5600C" w14:paraId="454D613B" w14:textId="77777777" w:rsidTr="688363ED">
        <w:trPr>
          <w:cantSplit/>
          <w:trHeight w:val="1160"/>
        </w:trPr>
        <w:tc>
          <w:tcPr>
            <w:tcW w:w="1255" w:type="dxa"/>
            <w:textDirection w:val="btLr"/>
          </w:tcPr>
          <w:p w14:paraId="04FCFE45" w14:textId="0641FA1B" w:rsidR="00E5600C" w:rsidRPr="00C81805" w:rsidRDefault="005139CD" w:rsidP="008322D1">
            <w:pPr>
              <w:ind w:left="113" w:right="113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Previous Virtual</w:t>
            </w:r>
            <w:r w:rsidR="006E001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PD</w:t>
            </w:r>
            <w:r w:rsidR="00182C12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Events</w:t>
            </w:r>
          </w:p>
        </w:tc>
        <w:tc>
          <w:tcPr>
            <w:tcW w:w="3537" w:type="dxa"/>
          </w:tcPr>
          <w:p w14:paraId="084BA68B" w14:textId="132CA806" w:rsidR="00E045D4" w:rsidRDefault="00E045D4" w:rsidP="00E045D4">
            <w:pPr>
              <w:pStyle w:val="ListParagraph"/>
              <w:numPr>
                <w:ilvl w:val="0"/>
                <w:numId w:val="6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Project-</w:t>
            </w:r>
            <w:r w:rsidR="008D78EA">
              <w:rPr>
                <w:rFonts w:ascii="Avenir Next LT Pro" w:hAnsi="Avenir Next LT Pro"/>
              </w:rPr>
              <w:t>B</w:t>
            </w:r>
            <w:r>
              <w:rPr>
                <w:rFonts w:ascii="Avenir Next LT Pro" w:hAnsi="Avenir Next LT Pro"/>
              </w:rPr>
              <w:t>ased Learning</w:t>
            </w:r>
          </w:p>
          <w:p w14:paraId="78B34EAA" w14:textId="5F811690" w:rsidR="00E045D4" w:rsidRPr="00E045D4" w:rsidRDefault="00E045D4" w:rsidP="00E045D4">
            <w:pPr>
              <w:pStyle w:val="ListParagraph"/>
              <w:numPr>
                <w:ilvl w:val="0"/>
                <w:numId w:val="6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Creating Driving Questions</w:t>
            </w:r>
          </w:p>
        </w:tc>
        <w:tc>
          <w:tcPr>
            <w:tcW w:w="4031" w:type="dxa"/>
          </w:tcPr>
          <w:p w14:paraId="47972E47" w14:textId="3336B9B5" w:rsidR="00E045D4" w:rsidRDefault="00C34BCD" w:rsidP="00E045D4">
            <w:pPr>
              <w:pStyle w:val="ListParagraph"/>
              <w:numPr>
                <w:ilvl w:val="0"/>
                <w:numId w:val="7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The Service</w:t>
            </w:r>
            <w:r w:rsidR="004C3DC2">
              <w:rPr>
                <w:rFonts w:ascii="Avenir Next LT Pro" w:hAnsi="Avenir Next LT Pro"/>
              </w:rPr>
              <w:t>-</w:t>
            </w:r>
            <w:r>
              <w:rPr>
                <w:rFonts w:ascii="Avenir Next LT Pro" w:hAnsi="Avenir Next LT Pro"/>
              </w:rPr>
              <w:t>Learning Approach</w:t>
            </w:r>
          </w:p>
          <w:p w14:paraId="11DDD967" w14:textId="5EA1BB25" w:rsidR="00C34BCD" w:rsidRPr="00E045D4" w:rsidRDefault="00C34BCD" w:rsidP="00E045D4">
            <w:pPr>
              <w:pStyle w:val="ListParagraph"/>
              <w:numPr>
                <w:ilvl w:val="0"/>
                <w:numId w:val="7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Embedding 21</w:t>
            </w:r>
            <w:r w:rsidRPr="00C34BCD">
              <w:rPr>
                <w:rFonts w:ascii="Avenir Next LT Pro" w:hAnsi="Avenir Next LT Pro"/>
                <w:vertAlign w:val="superscript"/>
              </w:rPr>
              <w:t>st</w:t>
            </w:r>
            <w:r>
              <w:rPr>
                <w:rFonts w:ascii="Avenir Next LT Pro" w:hAnsi="Avenir Next LT Pro"/>
              </w:rPr>
              <w:t xml:space="preserve"> Century Skills in Service-Learning Projects</w:t>
            </w:r>
          </w:p>
        </w:tc>
        <w:tc>
          <w:tcPr>
            <w:tcW w:w="4030" w:type="dxa"/>
          </w:tcPr>
          <w:p w14:paraId="06EA11D3" w14:textId="58C004EF" w:rsidR="00C34BCD" w:rsidRPr="00C34BCD" w:rsidRDefault="00C34BCD" w:rsidP="00C34BCD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Planning Internships for Youth Success</w:t>
            </w:r>
          </w:p>
        </w:tc>
      </w:tr>
    </w:tbl>
    <w:p w14:paraId="158F4E16" w14:textId="77777777" w:rsidR="00E95C50" w:rsidRDefault="00E95C50" w:rsidP="7F159FBD">
      <w:pPr>
        <w:rPr>
          <w:rFonts w:ascii="Avenir Next LT Pro" w:hAnsi="Avenir Next LT Pro"/>
          <w:b/>
          <w:bCs/>
          <w:sz w:val="24"/>
          <w:szCs w:val="24"/>
        </w:rPr>
      </w:pPr>
    </w:p>
    <w:p w14:paraId="524A848D" w14:textId="77777777" w:rsidR="008322D1" w:rsidRDefault="008322D1" w:rsidP="006707B1">
      <w:pPr>
        <w:rPr>
          <w:rFonts w:ascii="Avenir Next LT Pro" w:hAnsi="Avenir Next LT Pro"/>
          <w:b/>
          <w:bCs/>
          <w:sz w:val="24"/>
          <w:szCs w:val="24"/>
        </w:rPr>
      </w:pPr>
    </w:p>
    <w:sectPr w:rsidR="008322D1" w:rsidSect="0052682E">
      <w:headerReference w:type="default" r:id="rId11"/>
      <w:footerReference w:type="default" r:id="rId12"/>
      <w:pgSz w:w="15840" w:h="12240" w:orient="landscape"/>
      <w:pgMar w:top="1440" w:right="1440" w:bottom="1440" w:left="1440" w:header="720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398A" w14:textId="77777777" w:rsidR="0013030B" w:rsidRDefault="0013030B" w:rsidP="00CC6B3E">
      <w:pPr>
        <w:spacing w:after="0" w:line="240" w:lineRule="auto"/>
      </w:pPr>
      <w:r>
        <w:separator/>
      </w:r>
    </w:p>
  </w:endnote>
  <w:endnote w:type="continuationSeparator" w:id="0">
    <w:p w14:paraId="555C01AC" w14:textId="77777777" w:rsidR="0013030B" w:rsidRDefault="0013030B" w:rsidP="00CC6B3E">
      <w:pPr>
        <w:spacing w:after="0" w:line="240" w:lineRule="auto"/>
      </w:pPr>
      <w:r>
        <w:continuationSeparator/>
      </w:r>
    </w:p>
  </w:endnote>
  <w:endnote w:type="continuationNotice" w:id="1">
    <w:p w14:paraId="670E9179" w14:textId="77777777" w:rsidR="0013030B" w:rsidRDefault="00130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AD80" w14:textId="0886DFBB" w:rsidR="00424EF2" w:rsidRDefault="00F1445C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41C51A" wp14:editId="4DD9758A">
          <wp:simplePos x="0" y="0"/>
          <wp:positionH relativeFrom="margin">
            <wp:align>center</wp:align>
          </wp:positionH>
          <wp:positionV relativeFrom="paragraph">
            <wp:posOffset>-126724</wp:posOffset>
          </wp:positionV>
          <wp:extent cx="2374027" cy="909637"/>
          <wp:effectExtent l="0" t="0" r="0" b="0"/>
          <wp:wrapTight wrapText="bothSides">
            <wp:wrapPolygon edited="0">
              <wp:start x="7281" y="4525"/>
              <wp:lineTo x="2080" y="5430"/>
              <wp:lineTo x="2080" y="12670"/>
              <wp:lineTo x="7801" y="12670"/>
              <wp:lineTo x="2427" y="14480"/>
              <wp:lineTo x="2427" y="16743"/>
              <wp:lineTo x="5374" y="17648"/>
              <wp:lineTo x="9188" y="17648"/>
              <wp:lineTo x="18549" y="16743"/>
              <wp:lineTo x="18722" y="14933"/>
              <wp:lineTo x="12482" y="12670"/>
              <wp:lineTo x="18549" y="12670"/>
              <wp:lineTo x="19242" y="8145"/>
              <wp:lineTo x="18549" y="4525"/>
              <wp:lineTo x="7281" y="4525"/>
            </wp:wrapPolygon>
          </wp:wrapTight>
          <wp:docPr id="131513934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0700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027" cy="909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5E1B61" w14:textId="77777777" w:rsidR="00424EF2" w:rsidRDefault="00424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018E" w14:textId="77777777" w:rsidR="0013030B" w:rsidRDefault="0013030B" w:rsidP="00CC6B3E">
      <w:pPr>
        <w:spacing w:after="0" w:line="240" w:lineRule="auto"/>
      </w:pPr>
      <w:r>
        <w:separator/>
      </w:r>
    </w:p>
  </w:footnote>
  <w:footnote w:type="continuationSeparator" w:id="0">
    <w:p w14:paraId="25EA7D8D" w14:textId="77777777" w:rsidR="0013030B" w:rsidRDefault="0013030B" w:rsidP="00CC6B3E">
      <w:pPr>
        <w:spacing w:after="0" w:line="240" w:lineRule="auto"/>
      </w:pPr>
      <w:r>
        <w:continuationSeparator/>
      </w:r>
    </w:p>
  </w:footnote>
  <w:footnote w:type="continuationNotice" w:id="1">
    <w:p w14:paraId="23460294" w14:textId="77777777" w:rsidR="0013030B" w:rsidRDefault="00130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8179" w14:textId="751F1A74" w:rsidR="00CC6B3E" w:rsidRDefault="00CC6B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6CA9A" wp14:editId="2D46A0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9460" cy="586105"/>
          <wp:effectExtent l="0" t="0" r="0" b="0"/>
          <wp:wrapSquare wrapText="bothSides"/>
          <wp:docPr id="10795644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C47989" w14:textId="1C0581C5" w:rsidR="00CC6B3E" w:rsidRPr="00E20D01" w:rsidRDefault="424F040E" w:rsidP="0045152B">
    <w:pPr>
      <w:pStyle w:val="Header"/>
      <w:jc w:val="center"/>
      <w:rPr>
        <w:rFonts w:ascii="Avenir Next LT Pro" w:hAnsi="Avenir Next LT Pro"/>
        <w:b/>
        <w:bCs/>
        <w:sz w:val="40"/>
        <w:szCs w:val="40"/>
      </w:rPr>
    </w:pPr>
    <w:r w:rsidRPr="424F040E">
      <w:rPr>
        <w:rFonts w:ascii="Avenir Next LT Pro" w:hAnsi="Avenir Next LT Pro"/>
        <w:b/>
        <w:bCs/>
        <w:sz w:val="40"/>
        <w:szCs w:val="40"/>
      </w:rPr>
      <w:t>Work-Based Learning Matrix</w:t>
    </w:r>
  </w:p>
  <w:p w14:paraId="14A88D06" w14:textId="77777777" w:rsidR="00577C7A" w:rsidRPr="00AC55FE" w:rsidRDefault="00577C7A">
    <w:pPr>
      <w:pStyle w:val="Header"/>
      <w:rPr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vxRTY5b171wRT" int2:id="cAX0Ze4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827"/>
    <w:multiLevelType w:val="hybridMultilevel"/>
    <w:tmpl w:val="BD6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91D"/>
    <w:multiLevelType w:val="hybridMultilevel"/>
    <w:tmpl w:val="3EE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4BF6"/>
    <w:multiLevelType w:val="hybridMultilevel"/>
    <w:tmpl w:val="20141914"/>
    <w:lvl w:ilvl="0" w:tplc="70E2145E">
      <w:start w:val="1"/>
      <w:numFmt w:val="decimal"/>
      <w:lvlText w:val="%1."/>
      <w:lvlJc w:val="left"/>
      <w:pPr>
        <w:ind w:left="720" w:hanging="360"/>
      </w:pPr>
    </w:lvl>
    <w:lvl w:ilvl="1" w:tplc="CBE6BFBC">
      <w:start w:val="1"/>
      <w:numFmt w:val="lowerLetter"/>
      <w:lvlText w:val="%2."/>
      <w:lvlJc w:val="left"/>
      <w:pPr>
        <w:ind w:left="1440" w:hanging="360"/>
      </w:pPr>
    </w:lvl>
    <w:lvl w:ilvl="2" w:tplc="43929796">
      <w:start w:val="1"/>
      <w:numFmt w:val="lowerRoman"/>
      <w:lvlText w:val="%3."/>
      <w:lvlJc w:val="right"/>
      <w:pPr>
        <w:ind w:left="2160" w:hanging="180"/>
      </w:pPr>
    </w:lvl>
    <w:lvl w:ilvl="3" w:tplc="FD36A240">
      <w:start w:val="1"/>
      <w:numFmt w:val="decimal"/>
      <w:lvlText w:val="%4."/>
      <w:lvlJc w:val="left"/>
      <w:pPr>
        <w:ind w:left="2880" w:hanging="360"/>
      </w:pPr>
    </w:lvl>
    <w:lvl w:ilvl="4" w:tplc="143496AE">
      <w:start w:val="1"/>
      <w:numFmt w:val="lowerLetter"/>
      <w:lvlText w:val="%5."/>
      <w:lvlJc w:val="left"/>
      <w:pPr>
        <w:ind w:left="3600" w:hanging="360"/>
      </w:pPr>
    </w:lvl>
    <w:lvl w:ilvl="5" w:tplc="390A9E52">
      <w:start w:val="1"/>
      <w:numFmt w:val="lowerRoman"/>
      <w:lvlText w:val="%6."/>
      <w:lvlJc w:val="right"/>
      <w:pPr>
        <w:ind w:left="4320" w:hanging="180"/>
      </w:pPr>
    </w:lvl>
    <w:lvl w:ilvl="6" w:tplc="2A0EC772">
      <w:start w:val="1"/>
      <w:numFmt w:val="decimal"/>
      <w:lvlText w:val="%7."/>
      <w:lvlJc w:val="left"/>
      <w:pPr>
        <w:ind w:left="5040" w:hanging="360"/>
      </w:pPr>
    </w:lvl>
    <w:lvl w:ilvl="7" w:tplc="0FF6D0C0">
      <w:start w:val="1"/>
      <w:numFmt w:val="lowerLetter"/>
      <w:lvlText w:val="%8."/>
      <w:lvlJc w:val="left"/>
      <w:pPr>
        <w:ind w:left="5760" w:hanging="360"/>
      </w:pPr>
    </w:lvl>
    <w:lvl w:ilvl="8" w:tplc="062E93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6430"/>
    <w:multiLevelType w:val="hybridMultilevel"/>
    <w:tmpl w:val="6C66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03BA6"/>
    <w:multiLevelType w:val="hybridMultilevel"/>
    <w:tmpl w:val="1F1A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6186"/>
    <w:multiLevelType w:val="hybridMultilevel"/>
    <w:tmpl w:val="51B6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138C"/>
    <w:multiLevelType w:val="hybridMultilevel"/>
    <w:tmpl w:val="1AA4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24B70"/>
    <w:multiLevelType w:val="hybridMultilevel"/>
    <w:tmpl w:val="73B0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54EEB"/>
    <w:multiLevelType w:val="hybridMultilevel"/>
    <w:tmpl w:val="C89C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D3AD2"/>
    <w:multiLevelType w:val="hybridMultilevel"/>
    <w:tmpl w:val="78A6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4827">
    <w:abstractNumId w:val="2"/>
  </w:num>
  <w:num w:numId="2" w16cid:durableId="192350968">
    <w:abstractNumId w:val="7"/>
  </w:num>
  <w:num w:numId="3" w16cid:durableId="1821116542">
    <w:abstractNumId w:val="9"/>
  </w:num>
  <w:num w:numId="4" w16cid:durableId="1924869967">
    <w:abstractNumId w:val="1"/>
  </w:num>
  <w:num w:numId="5" w16cid:durableId="1822311836">
    <w:abstractNumId w:val="3"/>
  </w:num>
  <w:num w:numId="6" w16cid:durableId="1647004496">
    <w:abstractNumId w:val="6"/>
  </w:num>
  <w:num w:numId="7" w16cid:durableId="598873875">
    <w:abstractNumId w:val="4"/>
  </w:num>
  <w:num w:numId="8" w16cid:durableId="1961566300">
    <w:abstractNumId w:val="0"/>
  </w:num>
  <w:num w:numId="9" w16cid:durableId="266424577">
    <w:abstractNumId w:val="5"/>
  </w:num>
  <w:num w:numId="10" w16cid:durableId="1178930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7B2B8"/>
    <w:rsid w:val="00012634"/>
    <w:rsid w:val="00014F12"/>
    <w:rsid w:val="0002537D"/>
    <w:rsid w:val="000379C0"/>
    <w:rsid w:val="00051ED3"/>
    <w:rsid w:val="00057965"/>
    <w:rsid w:val="000A3F33"/>
    <w:rsid w:val="000C620E"/>
    <w:rsid w:val="000D1910"/>
    <w:rsid w:val="00101788"/>
    <w:rsid w:val="001052BA"/>
    <w:rsid w:val="00107CA0"/>
    <w:rsid w:val="0013030B"/>
    <w:rsid w:val="0013290F"/>
    <w:rsid w:val="0013636A"/>
    <w:rsid w:val="00141BDC"/>
    <w:rsid w:val="001535C8"/>
    <w:rsid w:val="00182C12"/>
    <w:rsid w:val="001C6BAB"/>
    <w:rsid w:val="001E307D"/>
    <w:rsid w:val="001E7ED8"/>
    <w:rsid w:val="00217C6D"/>
    <w:rsid w:val="0022402F"/>
    <w:rsid w:val="002560A1"/>
    <w:rsid w:val="0027005E"/>
    <w:rsid w:val="0027071E"/>
    <w:rsid w:val="0028274A"/>
    <w:rsid w:val="00297732"/>
    <w:rsid w:val="002B46DE"/>
    <w:rsid w:val="002B7DAF"/>
    <w:rsid w:val="002E600B"/>
    <w:rsid w:val="002F22A9"/>
    <w:rsid w:val="003045A1"/>
    <w:rsid w:val="0031192A"/>
    <w:rsid w:val="00311F68"/>
    <w:rsid w:val="0033066E"/>
    <w:rsid w:val="00331548"/>
    <w:rsid w:val="00335A41"/>
    <w:rsid w:val="00360E56"/>
    <w:rsid w:val="003624A3"/>
    <w:rsid w:val="003768AA"/>
    <w:rsid w:val="00386C4A"/>
    <w:rsid w:val="003976F1"/>
    <w:rsid w:val="003E73F9"/>
    <w:rsid w:val="00404B90"/>
    <w:rsid w:val="00416718"/>
    <w:rsid w:val="00424EF2"/>
    <w:rsid w:val="0043004F"/>
    <w:rsid w:val="00443A80"/>
    <w:rsid w:val="0045152B"/>
    <w:rsid w:val="0045531C"/>
    <w:rsid w:val="00457346"/>
    <w:rsid w:val="004575C6"/>
    <w:rsid w:val="0046616E"/>
    <w:rsid w:val="004676D3"/>
    <w:rsid w:val="004817E0"/>
    <w:rsid w:val="00485117"/>
    <w:rsid w:val="004C3DC2"/>
    <w:rsid w:val="004C55A8"/>
    <w:rsid w:val="005028C4"/>
    <w:rsid w:val="00505E99"/>
    <w:rsid w:val="0050737A"/>
    <w:rsid w:val="005121B8"/>
    <w:rsid w:val="00513373"/>
    <w:rsid w:val="005139CD"/>
    <w:rsid w:val="0051445E"/>
    <w:rsid w:val="0052682E"/>
    <w:rsid w:val="005359CB"/>
    <w:rsid w:val="005371A2"/>
    <w:rsid w:val="00543383"/>
    <w:rsid w:val="00543B7A"/>
    <w:rsid w:val="005550EB"/>
    <w:rsid w:val="00562A17"/>
    <w:rsid w:val="00564F43"/>
    <w:rsid w:val="00571A42"/>
    <w:rsid w:val="00577C7A"/>
    <w:rsid w:val="0059472A"/>
    <w:rsid w:val="00596011"/>
    <w:rsid w:val="005A137C"/>
    <w:rsid w:val="005A3B74"/>
    <w:rsid w:val="005A50ED"/>
    <w:rsid w:val="005A7B37"/>
    <w:rsid w:val="005E4C59"/>
    <w:rsid w:val="005E6A29"/>
    <w:rsid w:val="005E6D3E"/>
    <w:rsid w:val="005F7189"/>
    <w:rsid w:val="00617C57"/>
    <w:rsid w:val="0062642F"/>
    <w:rsid w:val="006436BB"/>
    <w:rsid w:val="00670260"/>
    <w:rsid w:val="006707B1"/>
    <w:rsid w:val="00676E16"/>
    <w:rsid w:val="00691B9C"/>
    <w:rsid w:val="006A7E44"/>
    <w:rsid w:val="006B4BEC"/>
    <w:rsid w:val="006E001A"/>
    <w:rsid w:val="006E686D"/>
    <w:rsid w:val="006F3272"/>
    <w:rsid w:val="006F4032"/>
    <w:rsid w:val="00712177"/>
    <w:rsid w:val="00717952"/>
    <w:rsid w:val="00720B85"/>
    <w:rsid w:val="00736041"/>
    <w:rsid w:val="00745AD8"/>
    <w:rsid w:val="00746757"/>
    <w:rsid w:val="007745AF"/>
    <w:rsid w:val="00781706"/>
    <w:rsid w:val="00783A58"/>
    <w:rsid w:val="007856C3"/>
    <w:rsid w:val="0079163C"/>
    <w:rsid w:val="00795CC6"/>
    <w:rsid w:val="007D5738"/>
    <w:rsid w:val="007F00D7"/>
    <w:rsid w:val="007F7DE1"/>
    <w:rsid w:val="00822C82"/>
    <w:rsid w:val="008322D1"/>
    <w:rsid w:val="008447BC"/>
    <w:rsid w:val="008462E6"/>
    <w:rsid w:val="00863FA5"/>
    <w:rsid w:val="008656BF"/>
    <w:rsid w:val="00867E1E"/>
    <w:rsid w:val="0088217B"/>
    <w:rsid w:val="00887E4B"/>
    <w:rsid w:val="00891A31"/>
    <w:rsid w:val="008A26DE"/>
    <w:rsid w:val="008B2A61"/>
    <w:rsid w:val="008C442D"/>
    <w:rsid w:val="008D449C"/>
    <w:rsid w:val="008D44B0"/>
    <w:rsid w:val="008D78EA"/>
    <w:rsid w:val="008E6A0B"/>
    <w:rsid w:val="009112C0"/>
    <w:rsid w:val="00923787"/>
    <w:rsid w:val="00925507"/>
    <w:rsid w:val="009553DF"/>
    <w:rsid w:val="009D6471"/>
    <w:rsid w:val="009D695B"/>
    <w:rsid w:val="009E2AEA"/>
    <w:rsid w:val="009F2C56"/>
    <w:rsid w:val="009F2E5B"/>
    <w:rsid w:val="009F3862"/>
    <w:rsid w:val="009F71B9"/>
    <w:rsid w:val="00A1359B"/>
    <w:rsid w:val="00A228E3"/>
    <w:rsid w:val="00A27213"/>
    <w:rsid w:val="00A66A44"/>
    <w:rsid w:val="00A72239"/>
    <w:rsid w:val="00A805BF"/>
    <w:rsid w:val="00A87656"/>
    <w:rsid w:val="00A9444A"/>
    <w:rsid w:val="00AA3526"/>
    <w:rsid w:val="00AC55FE"/>
    <w:rsid w:val="00B006A9"/>
    <w:rsid w:val="00B031E7"/>
    <w:rsid w:val="00B0770B"/>
    <w:rsid w:val="00B1195E"/>
    <w:rsid w:val="00B3134C"/>
    <w:rsid w:val="00B40AB8"/>
    <w:rsid w:val="00B4116D"/>
    <w:rsid w:val="00B52A9A"/>
    <w:rsid w:val="00B671D1"/>
    <w:rsid w:val="00B93EA1"/>
    <w:rsid w:val="00B94A67"/>
    <w:rsid w:val="00BC2819"/>
    <w:rsid w:val="00BC473E"/>
    <w:rsid w:val="00BD35CB"/>
    <w:rsid w:val="00BE377D"/>
    <w:rsid w:val="00BF2077"/>
    <w:rsid w:val="00C0510D"/>
    <w:rsid w:val="00C12B77"/>
    <w:rsid w:val="00C258DC"/>
    <w:rsid w:val="00C34BCD"/>
    <w:rsid w:val="00C43613"/>
    <w:rsid w:val="00C4744D"/>
    <w:rsid w:val="00C6144D"/>
    <w:rsid w:val="00C81805"/>
    <w:rsid w:val="00C9230E"/>
    <w:rsid w:val="00CA12ED"/>
    <w:rsid w:val="00CA17B8"/>
    <w:rsid w:val="00CA1BE4"/>
    <w:rsid w:val="00CA4E6B"/>
    <w:rsid w:val="00CC6B3E"/>
    <w:rsid w:val="00CE6AF9"/>
    <w:rsid w:val="00CF12A2"/>
    <w:rsid w:val="00D1115C"/>
    <w:rsid w:val="00D25F56"/>
    <w:rsid w:val="00D41259"/>
    <w:rsid w:val="00D51552"/>
    <w:rsid w:val="00D65A19"/>
    <w:rsid w:val="00D73978"/>
    <w:rsid w:val="00D76EF9"/>
    <w:rsid w:val="00D9048B"/>
    <w:rsid w:val="00DA32CF"/>
    <w:rsid w:val="00DB2B59"/>
    <w:rsid w:val="00DC041B"/>
    <w:rsid w:val="00DC480C"/>
    <w:rsid w:val="00DE33A5"/>
    <w:rsid w:val="00DE6EA5"/>
    <w:rsid w:val="00DF2388"/>
    <w:rsid w:val="00E04449"/>
    <w:rsid w:val="00E045D4"/>
    <w:rsid w:val="00E11B34"/>
    <w:rsid w:val="00E20D01"/>
    <w:rsid w:val="00E51538"/>
    <w:rsid w:val="00E55232"/>
    <w:rsid w:val="00E5600C"/>
    <w:rsid w:val="00E65B6C"/>
    <w:rsid w:val="00E7024F"/>
    <w:rsid w:val="00E70AE0"/>
    <w:rsid w:val="00E76DBF"/>
    <w:rsid w:val="00E840EB"/>
    <w:rsid w:val="00E87495"/>
    <w:rsid w:val="00E95C50"/>
    <w:rsid w:val="00EA1351"/>
    <w:rsid w:val="00EB1BF4"/>
    <w:rsid w:val="00EB204C"/>
    <w:rsid w:val="00EC074F"/>
    <w:rsid w:val="00EE28D9"/>
    <w:rsid w:val="00F02CB6"/>
    <w:rsid w:val="00F03DE7"/>
    <w:rsid w:val="00F1445C"/>
    <w:rsid w:val="00F22B2C"/>
    <w:rsid w:val="00F7261E"/>
    <w:rsid w:val="00F93785"/>
    <w:rsid w:val="00FA1246"/>
    <w:rsid w:val="00FC2A6C"/>
    <w:rsid w:val="00FD0B43"/>
    <w:rsid w:val="00FF0656"/>
    <w:rsid w:val="015EE0C9"/>
    <w:rsid w:val="0313D987"/>
    <w:rsid w:val="03D54BC0"/>
    <w:rsid w:val="03E2F7ED"/>
    <w:rsid w:val="051D531A"/>
    <w:rsid w:val="0557C330"/>
    <w:rsid w:val="0719C49B"/>
    <w:rsid w:val="0C2B170B"/>
    <w:rsid w:val="0D7221E5"/>
    <w:rsid w:val="0E4284A4"/>
    <w:rsid w:val="0ED4EDF1"/>
    <w:rsid w:val="0F107425"/>
    <w:rsid w:val="1033DB58"/>
    <w:rsid w:val="12CC0461"/>
    <w:rsid w:val="13EB6F8A"/>
    <w:rsid w:val="15229A09"/>
    <w:rsid w:val="15334B3D"/>
    <w:rsid w:val="15873FEB"/>
    <w:rsid w:val="15D1F951"/>
    <w:rsid w:val="1723104C"/>
    <w:rsid w:val="1757FD8D"/>
    <w:rsid w:val="18BEE0AD"/>
    <w:rsid w:val="1A4742AA"/>
    <w:rsid w:val="1BF6816F"/>
    <w:rsid w:val="1E07B2B8"/>
    <w:rsid w:val="1F2E3A75"/>
    <w:rsid w:val="1F905BCE"/>
    <w:rsid w:val="23EBE995"/>
    <w:rsid w:val="24B41892"/>
    <w:rsid w:val="25A5513B"/>
    <w:rsid w:val="26B08632"/>
    <w:rsid w:val="2723C1D5"/>
    <w:rsid w:val="281DECFF"/>
    <w:rsid w:val="2909237E"/>
    <w:rsid w:val="2A078E97"/>
    <w:rsid w:val="2A7D879F"/>
    <w:rsid w:val="2F17B19D"/>
    <w:rsid w:val="31EC41FB"/>
    <w:rsid w:val="336FA9B0"/>
    <w:rsid w:val="3388125C"/>
    <w:rsid w:val="3523E2BD"/>
    <w:rsid w:val="3534104A"/>
    <w:rsid w:val="36BFB31E"/>
    <w:rsid w:val="3793391B"/>
    <w:rsid w:val="38058AF4"/>
    <w:rsid w:val="3831DFFC"/>
    <w:rsid w:val="385B837F"/>
    <w:rsid w:val="38F171DF"/>
    <w:rsid w:val="3BCC35AA"/>
    <w:rsid w:val="3BF58993"/>
    <w:rsid w:val="3D2EF4A2"/>
    <w:rsid w:val="3EE21A60"/>
    <w:rsid w:val="3F581368"/>
    <w:rsid w:val="40669564"/>
    <w:rsid w:val="41984FFD"/>
    <w:rsid w:val="41BF99E5"/>
    <w:rsid w:val="420FC725"/>
    <w:rsid w:val="424F040E"/>
    <w:rsid w:val="453A0687"/>
    <w:rsid w:val="477AB43F"/>
    <w:rsid w:val="484B127B"/>
    <w:rsid w:val="48EAD871"/>
    <w:rsid w:val="4ACFC0AB"/>
    <w:rsid w:val="4B7FA488"/>
    <w:rsid w:val="4C27C649"/>
    <w:rsid w:val="4D1B74E9"/>
    <w:rsid w:val="50492369"/>
    <w:rsid w:val="505315AB"/>
    <w:rsid w:val="51707C21"/>
    <w:rsid w:val="53797B96"/>
    <w:rsid w:val="55154BF7"/>
    <w:rsid w:val="56012164"/>
    <w:rsid w:val="5632C096"/>
    <w:rsid w:val="56E8D4CE"/>
    <w:rsid w:val="5713FD79"/>
    <w:rsid w:val="59FB57CD"/>
    <w:rsid w:val="5B643937"/>
    <w:rsid w:val="5D399C04"/>
    <w:rsid w:val="5D4F6B32"/>
    <w:rsid w:val="5D9E142F"/>
    <w:rsid w:val="603B5FF3"/>
    <w:rsid w:val="62EA45E0"/>
    <w:rsid w:val="6509F632"/>
    <w:rsid w:val="667C89FE"/>
    <w:rsid w:val="688363ED"/>
    <w:rsid w:val="689B38BF"/>
    <w:rsid w:val="691B3C72"/>
    <w:rsid w:val="69226CD0"/>
    <w:rsid w:val="6AEAB651"/>
    <w:rsid w:val="6BB8E528"/>
    <w:rsid w:val="6C5528D5"/>
    <w:rsid w:val="6CB817BB"/>
    <w:rsid w:val="6D5A6B05"/>
    <w:rsid w:val="6FEFB87D"/>
    <w:rsid w:val="71BB06AF"/>
    <w:rsid w:val="72E48D5F"/>
    <w:rsid w:val="74C329A0"/>
    <w:rsid w:val="78A68552"/>
    <w:rsid w:val="7953CEE3"/>
    <w:rsid w:val="7B336743"/>
    <w:rsid w:val="7B9604A5"/>
    <w:rsid w:val="7C521FD1"/>
    <w:rsid w:val="7CA49802"/>
    <w:rsid w:val="7D6ED0BF"/>
    <w:rsid w:val="7D9AD4CE"/>
    <w:rsid w:val="7F159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B2B8"/>
  <w15:chartTrackingRefBased/>
  <w15:docId w15:val="{69D026AF-B8F0-4349-9C62-2E89DD42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3E"/>
  </w:style>
  <w:style w:type="paragraph" w:styleId="Footer">
    <w:name w:val="footer"/>
    <w:basedOn w:val="Normal"/>
    <w:link w:val="FooterChar"/>
    <w:uiPriority w:val="99"/>
    <w:unhideWhenUsed/>
    <w:rsid w:val="00CC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1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65A1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55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752e2a5-c6ef-4e54-9949-77aba9ea4ad0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</documentManagement>
</p:properties>
</file>

<file path=customXml/itemProps1.xml><?xml version="1.0" encoding="utf-8"?>
<ds:datastoreItem xmlns:ds="http://schemas.openxmlformats.org/officeDocument/2006/customXml" ds:itemID="{C41DEE0A-4E08-4E52-A351-BE2E8F267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E7C15-E7CE-478E-8CF7-33990AF20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65C460-459C-4B6A-88A8-29D5BCF8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011DB-67D4-4F19-813B-7BA22D3FA274}">
  <ds:schemaRefs>
    <ds:schemaRef ds:uri="http://schemas.microsoft.com/office/2006/metadata/properties"/>
    <ds:schemaRef ds:uri="http://schemas.microsoft.com/office/infopath/2007/PartnerControls"/>
    <ds:schemaRef ds:uri="4752e2a5-c6ef-4e54-9949-77aba9ea4ad0"/>
    <ds:schemaRef ds:uri="4a81be7d-4ecd-49ad-8e88-d07955994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Shanika Peck</dc:creator>
  <cp:keywords/>
  <dc:description/>
  <cp:lastModifiedBy>Tasha Gardner</cp:lastModifiedBy>
  <cp:revision>3</cp:revision>
  <dcterms:created xsi:type="dcterms:W3CDTF">2025-03-26T12:19:00Z</dcterms:created>
  <dcterms:modified xsi:type="dcterms:W3CDTF">2025-03-26T12:20:00Z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0x010100506B91E111A2694A9252D84DB1AD50FD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{"FileActivityType":"6","FileActivityTimeStamp":"2024-02-06T03:22:53.997Z","FileActivityUsersOnPage":[{"DisplayName":"Shanika Peck","Id":"speck@foundationsinc.org"}],"FileActivityNavigationId":null}</vt:lpwstr>
  </property>
  <property fmtid="{D5CDD505-2E9C-101B-9397-08002B2CF9AE}" pid="7" name="TriggerFlowInfo">
    <vt:lpwstr/>
  </property>
</Properties>
</file>