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color w:val="000000"/>
          <w:sz w:val="40"/>
          <w:szCs w:val="40"/>
        </w:rPr>
      </w:pPr>
      <w:r w:rsidDel="00000000" w:rsidR="00000000" w:rsidRPr="00000000">
        <w:rPr>
          <w:color w:val="000000"/>
        </w:rPr>
        <w:drawing>
          <wp:inline distB="19050" distT="19050" distL="19050" distR="19050">
            <wp:extent cx="765048" cy="591312"/>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65048" cy="591312"/>
                    </a:xfrm>
                    <a:prstGeom prst="rect"/>
                    <a:ln/>
                  </pic:spPr>
                </pic:pic>
              </a:graphicData>
            </a:graphic>
          </wp:inline>
        </w:drawing>
      </w:r>
      <w:r w:rsidDel="00000000" w:rsidR="00000000" w:rsidRPr="00000000">
        <w:rPr>
          <w:sz w:val="40"/>
          <w:szCs w:val="40"/>
          <w:rtl w:val="0"/>
        </w:rPr>
        <w:t xml:space="preserve">Youth Workforce Program Activities</w:t>
      </w:r>
      <w:r w:rsidDel="00000000" w:rsidR="00000000" w:rsidRPr="00000000">
        <w:rPr>
          <w:color w:val="000000"/>
          <w:sz w:val="40"/>
          <w:szCs w:val="40"/>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5" w:line="240" w:lineRule="auto"/>
        <w:ind w:left="20" w:firstLine="0"/>
        <w:rPr>
          <w:rFonts w:ascii="Avenir" w:cs="Avenir" w:eastAsia="Avenir" w:hAnsi="Avenir"/>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5" w:line="240" w:lineRule="auto"/>
        <w:ind w:left="20" w:firstLine="0"/>
        <w:jc w:val="left"/>
        <w:rPr>
          <w:rFonts w:ascii="Avenir" w:cs="Avenir" w:eastAsia="Avenir" w:hAnsi="Avenir"/>
        </w:rPr>
      </w:pPr>
      <w:r w:rsidDel="00000000" w:rsidR="00000000" w:rsidRPr="00000000">
        <w:rPr>
          <w:rFonts w:ascii="Avenir" w:cs="Avenir" w:eastAsia="Avenir" w:hAnsi="Avenir"/>
          <w:rtl w:val="0"/>
        </w:rPr>
        <w:t xml:space="preserve">Incorporating the variety of activities listed below in youth workforce programs will broaden possibilities, foster reflection and build relationships. Each of these activities will enhance the impact of your program's promotion of career awareness, career preparation and career launch.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5" w:line="240" w:lineRule="auto"/>
        <w:ind w:left="20" w:firstLine="0"/>
        <w:rPr>
          <w:rFonts w:ascii="Avenir" w:cs="Avenir" w:eastAsia="Avenir" w:hAnsi="Avenir"/>
        </w:rPr>
      </w:pPr>
      <w:r w:rsidDel="00000000" w:rsidR="00000000" w:rsidRPr="00000000">
        <w:rPr>
          <w:rtl w:val="0"/>
        </w:rPr>
      </w:r>
    </w:p>
    <w:tbl>
      <w:tblPr>
        <w:tblStyle w:val="Table1"/>
        <w:tblW w:w="10216.0" w:type="dxa"/>
        <w:jc w:val="left"/>
        <w:tblInd w:w="-390.0" w:type="dxa"/>
        <w:tblBorders>
          <w:top w:color="1e4382" w:space="0" w:sz="8" w:val="single"/>
          <w:left w:color="1e4382" w:space="0" w:sz="8" w:val="single"/>
          <w:bottom w:color="1e4382" w:space="0" w:sz="8" w:val="single"/>
          <w:right w:color="1e4382" w:space="0" w:sz="8" w:val="single"/>
          <w:insideH w:color="1e4382" w:space="0" w:sz="8" w:val="single"/>
          <w:insideV w:color="1e4382" w:space="0" w:sz="8" w:val="single"/>
        </w:tblBorders>
        <w:tblLayout w:type="fixed"/>
        <w:tblLook w:val="0600"/>
      </w:tblPr>
      <w:tblGrid>
        <w:gridCol w:w="2136"/>
        <w:gridCol w:w="1500"/>
        <w:gridCol w:w="3424"/>
        <w:gridCol w:w="3156"/>
        <w:tblGridChange w:id="0">
          <w:tblGrid>
            <w:gridCol w:w="2136"/>
            <w:gridCol w:w="1500"/>
            <w:gridCol w:w="3424"/>
            <w:gridCol w:w="3156"/>
          </w:tblGrid>
        </w:tblGridChange>
      </w:tblGrid>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349145"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Activity</w:t>
            </w:r>
          </w:p>
        </w:tc>
        <w:tc>
          <w:tcPr>
            <w:tcBorders>
              <w:top w:color="1e4382" w:space="0" w:sz="18" w:val="single"/>
              <w:left w:color="1e4382" w:space="0" w:sz="18" w:val="single"/>
              <w:bottom w:color="1e4382" w:space="0" w:sz="18" w:val="single"/>
              <w:right w:color="1e4382" w:space="0" w:sz="18" w:val="single"/>
            </w:tcBorders>
            <w:shd w:fill="e7a623" w:val="clear"/>
            <w:tcMar>
              <w:top w:w="100.0" w:type="dxa"/>
              <w:left w:w="100.0" w:type="dxa"/>
              <w:bottom w:w="100.0" w:type="dxa"/>
              <w:right w:w="100.0" w:type="dxa"/>
            </w:tcMar>
          </w:tcPr>
          <w:p w:rsidR="00000000" w:rsidDel="00000000" w:rsidP="00000000" w:rsidRDefault="00000000" w:rsidRPr="00000000" w14:paraId="00000006">
            <w:pPr>
              <w:spacing w:line="240" w:lineRule="auto"/>
              <w:jc w:val="center"/>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Target Audience</w:t>
            </w:r>
          </w:p>
        </w:tc>
        <w:tc>
          <w:tcPr>
            <w:tcBorders>
              <w:top w:color="1e4382" w:space="0" w:sz="18" w:val="single"/>
              <w:left w:color="1e4382" w:space="0" w:sz="18" w:val="single"/>
              <w:bottom w:color="1e4382" w:space="0" w:sz="18" w:val="single"/>
              <w:right w:color="1e4382" w:space="0" w:sz="18" w:val="single"/>
            </w:tcBorders>
            <w:shd w:fill="413a78"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How To </w:t>
            </w:r>
          </w:p>
        </w:tc>
        <w:tc>
          <w:tcPr>
            <w:tcBorders>
              <w:top w:color="1e4382" w:space="0" w:sz="18" w:val="single"/>
              <w:left w:color="1e4382" w:space="0" w:sz="18" w:val="single"/>
              <w:bottom w:color="1e4382" w:space="0" w:sz="18" w:val="single"/>
              <w:right w:color="1e4382" w:space="0" w:sz="18" w:val="single"/>
            </w:tcBorders>
            <w:shd w:fill="2669a9"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Outcome</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2669a9"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Career Exploration Workshops</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tl w:val="0"/>
              </w:rPr>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12-15</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Host workshops focused on a variety of career paths that feature guest speakers from different industries</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are exposed to diverse opportunities that inspire them to consider fields that they have not explored</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349145"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Skill-Building Boot Camps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tl w:val="0"/>
              </w:rPr>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10">
            <w:pPr>
              <w:spacing w:after="0" w:before="0" w:line="240" w:lineRule="auto"/>
              <w:ind w:left="0" w:right="0" w:firstLine="0"/>
              <w:jc w:val="left"/>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16-18</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Organize intensive workshops on specific skills: public speaking, coding or creative writing</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experience hands-on learning that promotes teamwork and collaboration</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e7a623"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Mentorship Programs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14">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16-18</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Pair youth with mentors from various career fields that can provide support, guidance and networking opportunities</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develop strong relationships and benefit from personalized insights and encouragement</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413a78"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Reflection Journals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18">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12-15</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Encourage youth to keep journals that allow them to reflect on their experiences, struggles and achievements throughout the program</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begin to process their thoughts, reflect on their growth and stay aligned with their goals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2669a9"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Peer-Led Discussion Groups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1C">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12-15</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Host small group discussions where youth are able to share their experiences, challenges and aspirations with one another.</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build a community that fosters deeper relationships and learn from each other’s experiences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349145"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Team-Building Activities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20">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16-18</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Incorporate team building activities and challenges: escape rooms, outdoor adventures or cooperative games</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benefit from strengthened relationships, enhanced communication skills and building trust amongst program participants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e7a623"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Vision Board Workshops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24">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12-15</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Organize sessions where youth create vision boards to visualize their goals and aspirations</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can self-reflect and clarify their ambitions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413a78"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Networking Events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19-24</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Host events where youth can meet professionals: career fairs or informal meet and greets</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build connections and understand the importance of networking in their career journeys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2669a9"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Creative Art Projects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2C">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16-18</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Provide workshops in creative fields: photography, painting or theater</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engage in creative activities that foster self-expression and helps them to discover new talents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349145"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Life Skills Training</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19-24</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Offer workshops on financial literacy, time management or communication skills</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gain skills that enhance both their personal and professional lives</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e7a623"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Feedback Sessions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34">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12-15</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Hold sessions where youth can provide feedback on the program and provide suggestions for improvement </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be empowered and have a sense of ownership over their learning experience</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413a78"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Skill Swap Workshops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38">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19-24</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Encourage youth to teach one another the skills that they are passionate about</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have a sense of community while broadening each other's skill set. </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2669a9"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Adventure Learning Trips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3C">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16-18</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Organize offsite trips focused on adventure learning: hiking, ropes courses with reflection activities following </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build confidence and relationships while reflecting on their experience in unique setting</w:t>
            </w:r>
          </w:p>
        </w:tc>
      </w:tr>
      <w:tr>
        <w:trPr>
          <w:cantSplit w:val="0"/>
          <w:trHeight w:val="300" w:hRule="atLeast"/>
          <w:tblHeader w:val="0"/>
        </w:trPr>
        <w:tc>
          <w:tcPr>
            <w:tcBorders>
              <w:top w:color="1e4382" w:space="0" w:sz="18" w:val="single"/>
              <w:left w:color="1e4382" w:space="0" w:sz="18" w:val="single"/>
              <w:bottom w:color="1e4382" w:space="0" w:sz="18" w:val="single"/>
              <w:right w:color="1e4382" w:space="0" w:sz="18" w:val="single"/>
            </w:tcBorders>
            <w:shd w:fill="349145"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Avenir" w:cs="Avenir" w:eastAsia="Avenir" w:hAnsi="Avenir"/>
                <w:b w:val="1"/>
                <w:bCs w:val="1"/>
                <w:color w:val="f3efd8"/>
                <w:sz w:val="24"/>
                <w:szCs w:val="24"/>
              </w:rPr>
            </w:pPr>
            <w:r w:rsidDel="00000000" w:rsidR="00000000" w:rsidRPr="00000000">
              <w:rPr>
                <w:rFonts w:ascii="Avenir" w:cs="Avenir" w:eastAsia="Avenir" w:hAnsi="Avenir"/>
                <w:b w:val="1"/>
                <w:bCs w:val="1"/>
                <w:color w:val="f3efd8"/>
                <w:sz w:val="24"/>
                <w:szCs w:val="24"/>
                <w:rtl w:val="0"/>
              </w:rPr>
              <w:t xml:space="preserve">Gratitude and Growth Sessions</w:t>
            </w:r>
          </w:p>
        </w:tc>
        <w:tc>
          <w:tcPr>
            <w:tcBorders>
              <w:top w:color="1e4382" w:space="0" w:sz="18" w:val="single"/>
              <w:left w:color="1e4382" w:space="0" w:sz="18" w:val="single"/>
              <w:bottom w:color="1e4382" w:space="0" w:sz="18" w:val="single"/>
              <w:right w:color="1e4382" w:space="0" w:sz="18" w:val="single"/>
            </w:tcBorders>
            <w:tcMar>
              <w:top w:w="100.0" w:type="dxa"/>
              <w:left w:w="100.0" w:type="dxa"/>
              <w:bottom w:w="100.0" w:type="dxa"/>
              <w:right w:w="100.0" w:type="dxa"/>
            </w:tcMar>
          </w:tcPr>
          <w:p w:rsidR="00000000" w:rsidDel="00000000" w:rsidP="00000000" w:rsidRDefault="00000000" w:rsidRPr="00000000" w14:paraId="00000040">
            <w:pPr>
              <w:spacing w:line="240" w:lineRule="auto"/>
              <w:rPr>
                <w:rFonts w:ascii="Avenir" w:cs="Avenir" w:eastAsia="Avenir" w:hAnsi="Avenir"/>
                <w:b w:val="0"/>
                <w:bCs w:val="0"/>
                <w:color w:val="000000"/>
                <w:sz w:val="24"/>
                <w:szCs w:val="24"/>
              </w:rPr>
            </w:pPr>
            <w:r w:rsidDel="00000000" w:rsidR="00000000" w:rsidRPr="00000000">
              <w:rPr>
                <w:rFonts w:ascii="Avenir" w:cs="Avenir" w:eastAsia="Avenir" w:hAnsi="Avenir"/>
                <w:b w:val="0"/>
                <w:bCs w:val="0"/>
                <w:color w:val="000000"/>
                <w:sz w:val="24"/>
                <w:szCs w:val="24"/>
                <w:rtl w:val="0"/>
              </w:rPr>
              <w:t xml:space="preserve">12-15</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Arrange sessions where youth present what they are grateful for and allow them to reflect on personal growth.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Be sure to incorporate a creative component: art or writing</w:t>
            </w:r>
          </w:p>
        </w:tc>
        <w:tc>
          <w:tcPr>
            <w:tcBorders>
              <w:top w:color="1e4382" w:space="0" w:sz="18" w:val="single"/>
              <w:left w:color="1e4382" w:space="0" w:sz="18" w:val="single"/>
              <w:bottom w:color="1e4382" w:space="0" w:sz="18" w:val="single"/>
              <w:right w:color="1e4382" w:space="0" w:sz="18" w:val="single"/>
            </w:tcBorders>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Youth will experience enhanced emotional well-being and a positive mindset while fostering deep connections</w:t>
            </w:r>
          </w:p>
        </w:tc>
      </w:tr>
    </w:tbl>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062" w:line="261" w:lineRule="auto"/>
        <w:rPr>
          <w:sz w:val="24"/>
          <w:szCs w:val="24"/>
        </w:rPr>
      </w:pPr>
      <w:r w:rsidDel="00000000" w:rsidR="00000000" w:rsidRPr="00000000">
        <w:rPr>
          <w:rtl w:val="0"/>
        </w:rPr>
      </w:r>
    </w:p>
    <w:sectPr>
      <w:footerReference r:id="rId7" w:type="default"/>
      <w:pgSz w:h="15840" w:w="12240" w:orient="portrait"/>
      <w:pgMar w:bottom="0" w:top="364" w:left="1435" w:right="146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widowControl w:val="0"/>
      <w:spacing w:before="270" w:line="199" w:lineRule="auto"/>
      <w:rPr/>
    </w:pPr>
    <w:r w:rsidDel="00000000" w:rsidR="00000000" w:rsidRPr="00000000">
      <w:rPr>
        <w:rtl w:val="0"/>
      </w:rPr>
      <w:t xml:space="preserve">                                                  </w:t>
    </w:r>
    <w:r w:rsidDel="00000000" w:rsidR="00000000" w:rsidRPr="00000000">
      <w:rPr/>
      <w:drawing>
        <wp:inline distB="19050" distT="19050" distL="19050" distR="19050">
          <wp:extent cx="2380488" cy="9174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80488" cy="917448"/>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